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2C2B5" w14:textId="77777777" w:rsidR="00D9482E" w:rsidRDefault="00D9482E" w:rsidP="00302DEA">
      <w:pPr>
        <w:pStyle w:val="HeadHatzaotHok"/>
        <w:jc w:val="right"/>
        <w:rPr>
          <w:b w:val="0"/>
          <w:bCs w:val="0"/>
          <w:szCs w:val="20"/>
          <w:rtl/>
        </w:rPr>
      </w:pPr>
    </w:p>
    <w:p w14:paraId="2958CA73" w14:textId="6AE0821A" w:rsidR="00861131" w:rsidRPr="0000131B" w:rsidRDefault="00861131" w:rsidP="00302DEA">
      <w:pPr>
        <w:pStyle w:val="HeadHatzaotHok"/>
        <w:jc w:val="right"/>
        <w:rPr>
          <w:b w:val="0"/>
          <w:bCs w:val="0"/>
          <w:szCs w:val="20"/>
        </w:rPr>
      </w:pPr>
      <w:r w:rsidRPr="0000131B">
        <w:rPr>
          <w:rFonts w:hint="cs"/>
          <w:b w:val="0"/>
          <w:bCs w:val="0"/>
          <w:szCs w:val="20"/>
          <w:rtl/>
        </w:rPr>
        <w:t xml:space="preserve">מספר פנימי: </w:t>
      </w:r>
      <w:bookmarkStart w:id="0" w:name="LGS_Internal_ID"/>
      <w:r w:rsidR="00302DEA">
        <w:rPr>
          <w:rFonts w:hint="cs"/>
          <w:b w:val="0"/>
          <w:bCs w:val="0"/>
          <w:szCs w:val="20"/>
          <w:rtl/>
        </w:rPr>
        <w:t>2019905</w:t>
      </w:r>
      <w:bookmarkEnd w:id="0"/>
    </w:p>
    <w:p w14:paraId="4E5B61A9" w14:textId="77777777" w:rsidR="00861131" w:rsidRPr="00DB7060" w:rsidRDefault="00861131" w:rsidP="00861131">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14:paraId="22BE7FF7" w14:textId="77777777" w:rsidR="00861131" w:rsidRPr="00F67051" w:rsidRDefault="00861131" w:rsidP="00861131">
      <w:pPr>
        <w:rPr>
          <w:rFonts w:cs="David"/>
          <w:b/>
          <w:bCs/>
          <w:sz w:val="26"/>
          <w:szCs w:val="26"/>
          <w:rtl/>
        </w:rPr>
      </w:pPr>
    </w:p>
    <w:p w14:paraId="013FEBF8" w14:textId="77777777" w:rsidR="00861131" w:rsidRDefault="00861131" w:rsidP="00861131">
      <w:pPr>
        <w:pStyle w:val="David"/>
        <w:spacing w:line="360" w:lineRule="auto"/>
        <w:ind w:left="3544"/>
        <w:rPr>
          <w:b/>
          <w:bCs/>
          <w:rtl/>
        </w:rPr>
      </w:pPr>
      <w:bookmarkStart w:id="2" w:name="LGS_Initiators_List"/>
      <w:r>
        <w:rPr>
          <w:b/>
          <w:bCs/>
          <w:rtl/>
        </w:rPr>
        <w:t>יוזמים:      חברי הכנסת</w:t>
      </w:r>
      <w:bookmarkEnd w:id="2"/>
      <w:r w:rsidRPr="00F67051">
        <w:rPr>
          <w:b/>
          <w:bCs/>
        </w:rPr>
        <w:tab/>
      </w:r>
      <w:bookmarkStart w:id="3" w:name="LGS_PM_Names"/>
      <w:r>
        <w:rPr>
          <w:rFonts w:hint="cs"/>
          <w:b/>
          <w:bCs/>
          <w:rtl/>
        </w:rPr>
        <w:t>יהודה גליק</w:t>
      </w:r>
      <w:r>
        <w:br/>
      </w:r>
      <w:r>
        <w:rPr>
          <w:rFonts w:hint="cs"/>
          <w:b/>
          <w:bCs/>
          <w:rtl/>
        </w:rPr>
        <w:t xml:space="preserve"> </w:t>
      </w:r>
      <w:r>
        <w:tab/>
      </w:r>
      <w:r>
        <w:tab/>
      </w:r>
      <w:r>
        <w:tab/>
      </w:r>
      <w:r>
        <w:tab/>
      </w:r>
      <w:r>
        <w:rPr>
          <w:rFonts w:hint="cs"/>
          <w:b/>
          <w:bCs/>
          <w:rtl/>
        </w:rPr>
        <w:t>איל בן ראובן</w:t>
      </w:r>
      <w:r>
        <w:br/>
      </w:r>
      <w:r>
        <w:rPr>
          <w:rFonts w:hint="cs"/>
          <w:b/>
          <w:bCs/>
          <w:rtl/>
        </w:rPr>
        <w:t xml:space="preserve"> </w:t>
      </w:r>
      <w:r>
        <w:tab/>
      </w:r>
      <w:r>
        <w:tab/>
      </w:r>
      <w:r>
        <w:tab/>
      </w:r>
      <w:r>
        <w:tab/>
      </w:r>
      <w:r>
        <w:rPr>
          <w:rFonts w:hint="cs"/>
          <w:b/>
          <w:bCs/>
          <w:rtl/>
        </w:rPr>
        <w:t>יעל כהן-פארן</w:t>
      </w:r>
      <w:r>
        <w:br/>
      </w:r>
      <w:r>
        <w:rPr>
          <w:rFonts w:hint="cs"/>
          <w:b/>
          <w:bCs/>
          <w:rtl/>
        </w:rPr>
        <w:t xml:space="preserve"> </w:t>
      </w:r>
      <w:r>
        <w:tab/>
      </w:r>
      <w:r>
        <w:tab/>
      </w:r>
      <w:r>
        <w:tab/>
      </w:r>
      <w:r>
        <w:tab/>
      </w:r>
      <w:r>
        <w:rPr>
          <w:rFonts w:hint="cs"/>
          <w:b/>
          <w:bCs/>
          <w:rtl/>
        </w:rPr>
        <w:t>מיקי רוזנטל</w:t>
      </w:r>
      <w:r>
        <w:br/>
      </w:r>
      <w:r>
        <w:rPr>
          <w:rFonts w:hint="cs"/>
          <w:b/>
          <w:bCs/>
          <w:rtl/>
        </w:rPr>
        <w:t xml:space="preserve"> </w:t>
      </w:r>
      <w:r>
        <w:tab/>
      </w:r>
      <w:r>
        <w:tab/>
      </w:r>
      <w:r>
        <w:tab/>
      </w:r>
      <w:r>
        <w:tab/>
      </w:r>
      <w:r>
        <w:rPr>
          <w:rFonts w:hint="cs"/>
          <w:b/>
          <w:bCs/>
          <w:rtl/>
        </w:rPr>
        <w:t>יעל גרמן</w:t>
      </w:r>
      <w:r>
        <w:br/>
      </w:r>
      <w:r>
        <w:rPr>
          <w:rFonts w:hint="cs"/>
          <w:b/>
          <w:bCs/>
          <w:rtl/>
        </w:rPr>
        <w:t xml:space="preserve"> </w:t>
      </w:r>
      <w:r>
        <w:tab/>
      </w:r>
      <w:r>
        <w:tab/>
      </w:r>
      <w:r>
        <w:tab/>
      </w:r>
      <w:r>
        <w:tab/>
      </w:r>
      <w:r>
        <w:rPr>
          <w:rFonts w:hint="cs"/>
          <w:b/>
          <w:bCs/>
          <w:rtl/>
        </w:rPr>
        <w:t>נחמן שי</w:t>
      </w:r>
      <w:r>
        <w:br/>
      </w:r>
      <w:r>
        <w:rPr>
          <w:rFonts w:hint="cs"/>
          <w:b/>
          <w:bCs/>
          <w:rtl/>
        </w:rPr>
        <w:t xml:space="preserve"> </w:t>
      </w:r>
      <w:r>
        <w:tab/>
      </w:r>
      <w:r>
        <w:tab/>
      </w:r>
      <w:r>
        <w:tab/>
      </w:r>
      <w:r>
        <w:tab/>
      </w:r>
      <w:r>
        <w:rPr>
          <w:rFonts w:hint="cs"/>
          <w:b/>
          <w:bCs/>
          <w:rtl/>
        </w:rPr>
        <w:t>תמר זנדברג</w:t>
      </w:r>
      <w:r>
        <w:br/>
      </w:r>
      <w:r>
        <w:rPr>
          <w:rFonts w:hint="cs"/>
          <w:b/>
          <w:bCs/>
          <w:rtl/>
        </w:rPr>
        <w:t xml:space="preserve"> </w:t>
      </w:r>
      <w:r>
        <w:tab/>
      </w:r>
      <w:r>
        <w:tab/>
      </w:r>
      <w:r>
        <w:tab/>
      </w:r>
      <w:r>
        <w:tab/>
      </w:r>
      <w:r>
        <w:rPr>
          <w:rFonts w:hint="cs"/>
          <w:b/>
          <w:bCs/>
          <w:rtl/>
        </w:rPr>
        <w:t>עבד אל חכים חאג' יחיא</w:t>
      </w:r>
      <w:r>
        <w:br/>
      </w:r>
      <w:r>
        <w:rPr>
          <w:rFonts w:hint="cs"/>
          <w:b/>
          <w:bCs/>
          <w:rtl/>
        </w:rPr>
        <w:t xml:space="preserve"> </w:t>
      </w:r>
      <w:r>
        <w:tab/>
      </w:r>
      <w:r>
        <w:tab/>
      </w:r>
      <w:r>
        <w:tab/>
      </w:r>
      <w:r>
        <w:tab/>
      </w:r>
      <w:r>
        <w:rPr>
          <w:rFonts w:hint="cs"/>
          <w:b/>
          <w:bCs/>
          <w:rtl/>
        </w:rPr>
        <w:t>ענת ברקו</w:t>
      </w:r>
      <w:r>
        <w:br/>
      </w:r>
      <w:r>
        <w:rPr>
          <w:rFonts w:hint="cs"/>
          <w:b/>
          <w:bCs/>
          <w:rtl/>
        </w:rPr>
        <w:t xml:space="preserve"> </w:t>
      </w:r>
      <w:r>
        <w:tab/>
      </w:r>
      <w:r>
        <w:tab/>
      </w:r>
      <w:r>
        <w:tab/>
      </w:r>
      <w:r>
        <w:tab/>
      </w:r>
      <w:r>
        <w:rPr>
          <w:rFonts w:hint="cs"/>
          <w:b/>
          <w:bCs/>
          <w:rtl/>
        </w:rPr>
        <w:t>אכרם חסון</w:t>
      </w:r>
      <w:r>
        <w:br/>
      </w:r>
      <w:r>
        <w:rPr>
          <w:rFonts w:hint="cs"/>
          <w:b/>
          <w:bCs/>
          <w:rtl/>
        </w:rPr>
        <w:t xml:space="preserve"> </w:t>
      </w:r>
      <w:r>
        <w:tab/>
      </w:r>
      <w:r>
        <w:tab/>
      </w:r>
      <w:r>
        <w:tab/>
      </w:r>
      <w:r>
        <w:tab/>
      </w:r>
      <w:r>
        <w:rPr>
          <w:rFonts w:hint="cs"/>
          <w:b/>
          <w:bCs/>
          <w:rtl/>
        </w:rPr>
        <w:t xml:space="preserve">יעקב </w:t>
      </w:r>
      <w:proofErr w:type="spellStart"/>
      <w:r>
        <w:rPr>
          <w:rFonts w:hint="cs"/>
          <w:b/>
          <w:bCs/>
          <w:rtl/>
        </w:rPr>
        <w:t>מרגי</w:t>
      </w:r>
      <w:proofErr w:type="spellEnd"/>
      <w:r>
        <w:br/>
      </w:r>
      <w:r>
        <w:rPr>
          <w:rFonts w:hint="cs"/>
          <w:b/>
          <w:bCs/>
          <w:rtl/>
        </w:rPr>
        <w:t xml:space="preserve"> </w:t>
      </w:r>
      <w:r>
        <w:tab/>
      </w:r>
      <w:r>
        <w:tab/>
      </w:r>
      <w:r>
        <w:tab/>
      </w:r>
      <w:r>
        <w:tab/>
      </w:r>
      <w:r>
        <w:rPr>
          <w:rFonts w:hint="cs"/>
          <w:b/>
          <w:bCs/>
          <w:rtl/>
        </w:rPr>
        <w:t>יוסי יונה</w:t>
      </w:r>
      <w:r>
        <w:br/>
      </w:r>
      <w:r>
        <w:rPr>
          <w:rFonts w:hint="cs"/>
          <w:b/>
          <w:bCs/>
          <w:rtl/>
        </w:rPr>
        <w:t xml:space="preserve"> </w:t>
      </w:r>
      <w:r>
        <w:tab/>
      </w:r>
      <w:r>
        <w:tab/>
      </w:r>
      <w:r>
        <w:tab/>
      </w:r>
      <w:r>
        <w:tab/>
      </w:r>
      <w:r>
        <w:rPr>
          <w:rFonts w:hint="cs"/>
          <w:b/>
          <w:bCs/>
          <w:rtl/>
        </w:rPr>
        <w:t>איתן כבל</w:t>
      </w:r>
      <w:bookmarkEnd w:id="3"/>
    </w:p>
    <w:p w14:paraId="62CB0993" w14:textId="77777777" w:rsidR="00861131" w:rsidRPr="00904591" w:rsidRDefault="00861131" w:rsidP="00861131">
      <w:pPr>
        <w:pStyle w:val="David"/>
        <w:spacing w:before="0" w:line="360" w:lineRule="auto"/>
        <w:ind w:left="3544"/>
        <w:rPr>
          <w:sz w:val="4"/>
          <w:szCs w:val="4"/>
          <w:rtl/>
        </w:rPr>
      </w:pPr>
      <w:r>
        <w:t>______________________________________________</w:t>
      </w:r>
      <w:r w:rsidRPr="00E06736">
        <w:tab/>
      </w:r>
      <w:r w:rsidRPr="00E06736">
        <w:rPr>
          <w:rFonts w:hint="cs"/>
          <w:rtl/>
        </w:rPr>
        <w:tab/>
      </w:r>
      <w:r w:rsidRPr="00E06736">
        <w:rPr>
          <w:rFonts w:hint="cs"/>
          <w:rtl/>
        </w:rPr>
        <w:tab/>
      </w:r>
      <w:r w:rsidRPr="00E06736">
        <w:rPr>
          <w:rFonts w:hint="cs"/>
          <w:rtl/>
        </w:rPr>
        <w:tab/>
      </w:r>
      <w:r>
        <w:t xml:space="preserve">           </w:t>
      </w:r>
    </w:p>
    <w:p w14:paraId="223B3232" w14:textId="375E5CEC" w:rsidR="00861131" w:rsidRPr="00E06736" w:rsidRDefault="00861131" w:rsidP="001A545A">
      <w:pPr>
        <w:pStyle w:val="David"/>
        <w:spacing w:before="0" w:line="240" w:lineRule="auto"/>
        <w:ind w:left="3544"/>
        <w:rPr>
          <w:rtl/>
        </w:rPr>
      </w:pPr>
      <w:r>
        <w:t xml:space="preserve">       </w:t>
      </w:r>
      <w:r w:rsidR="00D53ECC">
        <w:rPr>
          <w:rtl/>
        </w:rPr>
        <w:tab/>
      </w:r>
      <w:r w:rsidR="00D53ECC">
        <w:rPr>
          <w:rtl/>
        </w:rPr>
        <w:tab/>
      </w:r>
      <w:r w:rsidR="00D53ECC">
        <w:rPr>
          <w:rtl/>
        </w:rPr>
        <w:tab/>
      </w:r>
      <w:r w:rsidR="00D53ECC">
        <w:rPr>
          <w:rtl/>
        </w:rPr>
        <w:tab/>
      </w:r>
      <w:r w:rsidR="00D53ECC">
        <w:rPr>
          <w:rFonts w:hint="cs"/>
          <w:rtl/>
        </w:rPr>
        <w:t>פ/5202/20</w:t>
      </w:r>
    </w:p>
    <w:p w14:paraId="5401659B" w14:textId="77777777" w:rsidR="00861131" w:rsidRDefault="00861131" w:rsidP="00861131">
      <w:pPr>
        <w:spacing w:before="0" w:line="360" w:lineRule="auto"/>
        <w:ind w:left="2880" w:firstLine="720"/>
        <w:rPr>
          <w:rFonts w:cs="David"/>
          <w:sz w:val="26"/>
          <w:szCs w:val="26"/>
          <w:rtl/>
        </w:rPr>
      </w:pPr>
    </w:p>
    <w:p w14:paraId="54A3C30C" w14:textId="12EEA8B7" w:rsidR="00861131" w:rsidRDefault="00302DEA" w:rsidP="00D53ECC">
      <w:pPr>
        <w:pStyle w:val="HeadHatzaotHok"/>
        <w:rPr>
          <w:sz w:val="22"/>
          <w:rtl/>
        </w:rPr>
      </w:pPr>
      <w:r>
        <w:rPr>
          <w:rFonts w:hint="cs"/>
          <w:rtl/>
        </w:rPr>
        <w:t>הצעת חוק למניעת העישון במקומות ציבוריים והחשיפה לעישון (</w:t>
      </w:r>
      <w:r w:rsidR="00D53ECC">
        <w:rPr>
          <w:rFonts w:hint="cs"/>
          <w:rtl/>
        </w:rPr>
        <w:t xml:space="preserve">תיקון </w:t>
      </w:r>
      <w:r w:rsidR="00D53ECC">
        <w:rPr>
          <w:rFonts w:hint="eastAsia"/>
          <w:rtl/>
        </w:rPr>
        <w:t>–</w:t>
      </w:r>
      <w:r w:rsidR="00D53ECC">
        <w:rPr>
          <w:rFonts w:hint="cs"/>
          <w:rtl/>
        </w:rPr>
        <w:t xml:space="preserve"> </w:t>
      </w:r>
      <w:r>
        <w:rPr>
          <w:rFonts w:hint="cs"/>
          <w:rtl/>
        </w:rPr>
        <w:t xml:space="preserve">ייעול האכיפה וביטול חדרי העישון), </w:t>
      </w:r>
      <w:proofErr w:type="spellStart"/>
      <w:r>
        <w:rPr>
          <w:rFonts w:hint="cs"/>
          <w:rtl/>
        </w:rPr>
        <w:t>התשע"ח</w:t>
      </w:r>
      <w:proofErr w:type="spellEnd"/>
      <w:r>
        <w:rPr>
          <w:rFonts w:hint="eastAsia"/>
          <w:rtl/>
        </w:rPr>
        <w:t>–</w:t>
      </w:r>
      <w:r>
        <w:rPr>
          <w:rFonts w:hint="cs"/>
          <w:rtl/>
        </w:rPr>
        <w:t>2018</w:t>
      </w:r>
    </w:p>
    <w:tbl>
      <w:tblPr>
        <w:bidiVisual/>
        <w:tblW w:w="9638" w:type="dxa"/>
        <w:tblLayout w:type="fixed"/>
        <w:tblCellMar>
          <w:top w:w="57" w:type="dxa"/>
          <w:left w:w="0" w:type="dxa"/>
          <w:bottom w:w="57" w:type="dxa"/>
          <w:right w:w="0" w:type="dxa"/>
        </w:tblCellMar>
        <w:tblLook w:val="01E0" w:firstRow="1" w:lastRow="1" w:firstColumn="1" w:lastColumn="1" w:noHBand="0" w:noVBand="0"/>
      </w:tblPr>
      <w:tblGrid>
        <w:gridCol w:w="1869"/>
        <w:gridCol w:w="624"/>
        <w:gridCol w:w="624"/>
        <w:gridCol w:w="624"/>
        <w:gridCol w:w="624"/>
        <w:gridCol w:w="624"/>
        <w:gridCol w:w="624"/>
        <w:gridCol w:w="624"/>
        <w:gridCol w:w="3401"/>
      </w:tblGrid>
      <w:tr w:rsidR="00027DEB" w:rsidRPr="003C16D3" w14:paraId="36BE71E8" w14:textId="77777777" w:rsidTr="00C57C6F">
        <w:trPr>
          <w:cantSplit/>
        </w:trPr>
        <w:tc>
          <w:tcPr>
            <w:tcW w:w="1869" w:type="dxa"/>
          </w:tcPr>
          <w:p w14:paraId="066CE2D9" w14:textId="77777777" w:rsidR="00027DEB" w:rsidRPr="003C16D3" w:rsidRDefault="00027DEB" w:rsidP="00C57C6F">
            <w:pPr>
              <w:pStyle w:val="TableSideHeading"/>
              <w:ind w:left="57" w:right="0"/>
            </w:pPr>
            <w:r>
              <w:rPr>
                <w:rFonts w:hint="cs"/>
                <w:rtl/>
              </w:rPr>
              <w:t>תיקון סעיף 1</w:t>
            </w:r>
          </w:p>
        </w:tc>
        <w:tc>
          <w:tcPr>
            <w:tcW w:w="624" w:type="dxa"/>
          </w:tcPr>
          <w:p w14:paraId="1A475BE7" w14:textId="77777777" w:rsidR="00027DEB" w:rsidRPr="003C16D3" w:rsidRDefault="00027DEB" w:rsidP="00C57C6F">
            <w:pPr>
              <w:pStyle w:val="TableText"/>
              <w:keepLines w:val="0"/>
              <w:ind w:right="0"/>
            </w:pPr>
            <w:r>
              <w:rPr>
                <w:rFonts w:hint="cs"/>
                <w:rtl/>
              </w:rPr>
              <w:t xml:space="preserve">1. </w:t>
            </w:r>
          </w:p>
        </w:tc>
        <w:tc>
          <w:tcPr>
            <w:tcW w:w="7145" w:type="dxa"/>
            <w:gridSpan w:val="7"/>
          </w:tcPr>
          <w:p w14:paraId="3E9D61D1" w14:textId="14822581" w:rsidR="00027DEB" w:rsidRPr="003C16D3" w:rsidRDefault="00027DEB" w:rsidP="00C57C6F">
            <w:pPr>
              <w:pStyle w:val="TableBlock"/>
            </w:pPr>
            <w:r>
              <w:rPr>
                <w:rFonts w:hint="cs"/>
                <w:rtl/>
              </w:rPr>
              <w:t>ב</w:t>
            </w:r>
            <w:r w:rsidRPr="003C16D3">
              <w:rPr>
                <w:rtl/>
              </w:rPr>
              <w:t xml:space="preserve">חוק למניעת העישון במקומות ציבוריים והחשיפה לעישון, </w:t>
            </w:r>
            <w:proofErr w:type="spellStart"/>
            <w:r w:rsidRPr="003C16D3">
              <w:rPr>
                <w:rtl/>
              </w:rPr>
              <w:t>התשמ"ג</w:t>
            </w:r>
            <w:proofErr w:type="spellEnd"/>
            <w:r>
              <w:rPr>
                <w:rFonts w:hint="eastAsia"/>
                <w:rtl/>
              </w:rPr>
              <w:t>–</w:t>
            </w:r>
            <w:r w:rsidRPr="003C16D3">
              <w:rPr>
                <w:rtl/>
              </w:rPr>
              <w:t>1983</w:t>
            </w:r>
            <w:r>
              <w:rPr>
                <w:rStyle w:val="a7"/>
                <w:rtl/>
              </w:rPr>
              <w:footnoteReference w:id="2"/>
            </w:r>
            <w:r w:rsidRPr="003C16D3">
              <w:rPr>
                <w:rtl/>
              </w:rPr>
              <w:t xml:space="preserve"> (להלן – החוק העיקרי)</w:t>
            </w:r>
            <w:r w:rsidR="00C57C6F">
              <w:rPr>
                <w:rFonts w:hint="cs"/>
                <w:rtl/>
              </w:rPr>
              <w:t>, בסעיף 1</w:t>
            </w:r>
            <w:r>
              <w:rPr>
                <w:rFonts w:hint="cs"/>
                <w:rtl/>
              </w:rPr>
              <w:t xml:space="preserve">(ב), </w:t>
            </w:r>
            <w:proofErr w:type="spellStart"/>
            <w:r>
              <w:rPr>
                <w:rFonts w:hint="cs"/>
                <w:rtl/>
              </w:rPr>
              <w:t>הסיפה</w:t>
            </w:r>
            <w:proofErr w:type="spellEnd"/>
            <w:r>
              <w:rPr>
                <w:rFonts w:hint="cs"/>
                <w:rtl/>
              </w:rPr>
              <w:t xml:space="preserve"> החל במילים "בחוק זה" </w:t>
            </w:r>
            <w:r>
              <w:rPr>
                <w:rFonts w:hint="eastAsia"/>
                <w:rtl/>
              </w:rPr>
              <w:t>–</w:t>
            </w:r>
            <w:r>
              <w:rPr>
                <w:rFonts w:hint="cs"/>
                <w:rtl/>
              </w:rPr>
              <w:t xml:space="preserve"> תימחק.</w:t>
            </w:r>
            <w:r w:rsidRPr="003C16D3">
              <w:rPr>
                <w:rFonts w:hint="cs"/>
                <w:rtl/>
              </w:rPr>
              <w:t xml:space="preserve"> </w:t>
            </w:r>
          </w:p>
        </w:tc>
      </w:tr>
      <w:tr w:rsidR="00027DEB" w:rsidRPr="003C16D3" w14:paraId="711555E1" w14:textId="77777777" w:rsidTr="00C57C6F">
        <w:trPr>
          <w:cantSplit/>
        </w:trPr>
        <w:tc>
          <w:tcPr>
            <w:tcW w:w="1869" w:type="dxa"/>
          </w:tcPr>
          <w:p w14:paraId="4324A919" w14:textId="77777777" w:rsidR="00027DEB" w:rsidDel="002A74FF" w:rsidRDefault="00027DEB" w:rsidP="00C57C6F">
            <w:pPr>
              <w:pStyle w:val="TableSideHeading"/>
              <w:ind w:left="57" w:right="0"/>
              <w:rPr>
                <w:rtl/>
              </w:rPr>
            </w:pPr>
            <w:r>
              <w:rPr>
                <w:rFonts w:hint="cs"/>
                <w:rtl/>
              </w:rPr>
              <w:t>הוספת סעיף 1ב</w:t>
            </w:r>
          </w:p>
        </w:tc>
        <w:tc>
          <w:tcPr>
            <w:tcW w:w="624" w:type="dxa"/>
          </w:tcPr>
          <w:p w14:paraId="7077F96C" w14:textId="77777777" w:rsidR="00027DEB" w:rsidRPr="003C16D3" w:rsidRDefault="00027DEB" w:rsidP="00C57C6F">
            <w:pPr>
              <w:pStyle w:val="TableText"/>
            </w:pPr>
            <w:r>
              <w:rPr>
                <w:rFonts w:hint="cs"/>
                <w:rtl/>
              </w:rPr>
              <w:t xml:space="preserve">2. </w:t>
            </w:r>
          </w:p>
        </w:tc>
        <w:tc>
          <w:tcPr>
            <w:tcW w:w="7145" w:type="dxa"/>
            <w:gridSpan w:val="7"/>
          </w:tcPr>
          <w:p w14:paraId="45A8A02A" w14:textId="77777777" w:rsidR="00027DEB" w:rsidRDefault="00027DEB" w:rsidP="00C57C6F">
            <w:pPr>
              <w:pStyle w:val="TableBlock"/>
              <w:rPr>
                <w:rtl/>
              </w:rPr>
            </w:pPr>
            <w:r>
              <w:rPr>
                <w:rFonts w:hint="cs"/>
                <w:rtl/>
              </w:rPr>
              <w:t xml:space="preserve">אחרי סעיף 1א לחוק העיקרי </w:t>
            </w:r>
            <w:r w:rsidRPr="003C16D3">
              <w:rPr>
                <w:rFonts w:hint="cs"/>
                <w:rtl/>
              </w:rPr>
              <w:t>יבוא</w:t>
            </w:r>
            <w:r>
              <w:rPr>
                <w:rFonts w:hint="cs"/>
                <w:rtl/>
              </w:rPr>
              <w:t>:</w:t>
            </w:r>
          </w:p>
        </w:tc>
      </w:tr>
      <w:tr w:rsidR="00027DEB" w14:paraId="1071E907" w14:textId="77777777" w:rsidTr="00C57C6F">
        <w:trPr>
          <w:cantSplit/>
          <w:trHeight w:val="60"/>
        </w:trPr>
        <w:tc>
          <w:tcPr>
            <w:tcW w:w="1869" w:type="dxa"/>
          </w:tcPr>
          <w:p w14:paraId="5A8C84C9" w14:textId="77777777" w:rsidR="00027DEB" w:rsidRDefault="00027DEB" w:rsidP="00C57C6F">
            <w:pPr>
              <w:pStyle w:val="TableSideHeading"/>
              <w:keepLines w:val="0"/>
            </w:pPr>
          </w:p>
        </w:tc>
        <w:tc>
          <w:tcPr>
            <w:tcW w:w="624" w:type="dxa"/>
          </w:tcPr>
          <w:p w14:paraId="5BCEEA29" w14:textId="77777777" w:rsidR="00027DEB" w:rsidRDefault="00027DEB" w:rsidP="00C57C6F">
            <w:pPr>
              <w:pStyle w:val="TableText"/>
              <w:keepLines w:val="0"/>
            </w:pPr>
          </w:p>
        </w:tc>
        <w:tc>
          <w:tcPr>
            <w:tcW w:w="1872" w:type="dxa"/>
            <w:gridSpan w:val="3"/>
          </w:tcPr>
          <w:p w14:paraId="2BFA0A40" w14:textId="77777777" w:rsidR="00027DEB" w:rsidRDefault="00027DEB" w:rsidP="00C57C6F">
            <w:pPr>
              <w:pStyle w:val="TableInnerSideHeading"/>
            </w:pPr>
            <w:r>
              <w:rPr>
                <w:rFonts w:hint="cs"/>
                <w:rtl/>
              </w:rPr>
              <w:t>"הגדרות</w:t>
            </w:r>
          </w:p>
        </w:tc>
        <w:tc>
          <w:tcPr>
            <w:tcW w:w="624" w:type="dxa"/>
          </w:tcPr>
          <w:p w14:paraId="32680D8C" w14:textId="77777777" w:rsidR="00027DEB" w:rsidRDefault="00027DEB" w:rsidP="00C57C6F">
            <w:pPr>
              <w:pStyle w:val="TableText"/>
            </w:pPr>
            <w:r>
              <w:rPr>
                <w:rFonts w:hint="cs"/>
                <w:rtl/>
              </w:rPr>
              <w:t>1ב.</w:t>
            </w:r>
          </w:p>
        </w:tc>
        <w:tc>
          <w:tcPr>
            <w:tcW w:w="4649" w:type="dxa"/>
            <w:gridSpan w:val="3"/>
          </w:tcPr>
          <w:p w14:paraId="5CDC7499" w14:textId="77777777" w:rsidR="00027DEB" w:rsidRDefault="00027DEB" w:rsidP="00C57C6F">
            <w:pPr>
              <w:pStyle w:val="TableBlock"/>
            </w:pPr>
            <w:r>
              <w:rPr>
                <w:rFonts w:hint="cs"/>
                <w:rtl/>
              </w:rPr>
              <w:t xml:space="preserve">בחוק זה </w:t>
            </w:r>
            <w:r>
              <w:rPr>
                <w:rFonts w:hint="eastAsia"/>
                <w:rtl/>
              </w:rPr>
              <w:t>–</w:t>
            </w:r>
          </w:p>
        </w:tc>
      </w:tr>
      <w:tr w:rsidR="00027DEB" w14:paraId="0DA87CBA" w14:textId="77777777" w:rsidTr="00C57C6F">
        <w:trPr>
          <w:cantSplit/>
          <w:trHeight w:val="60"/>
        </w:trPr>
        <w:tc>
          <w:tcPr>
            <w:tcW w:w="1869" w:type="dxa"/>
          </w:tcPr>
          <w:p w14:paraId="7D05640B" w14:textId="77777777" w:rsidR="00027DEB" w:rsidRPr="00F337B0" w:rsidRDefault="00027DEB" w:rsidP="00C57C6F">
            <w:pPr>
              <w:pStyle w:val="TableSideHeading"/>
            </w:pPr>
          </w:p>
        </w:tc>
        <w:tc>
          <w:tcPr>
            <w:tcW w:w="624" w:type="dxa"/>
          </w:tcPr>
          <w:p w14:paraId="52DBE42B" w14:textId="77777777" w:rsidR="00027DEB" w:rsidRDefault="00027DEB" w:rsidP="00C57C6F">
            <w:pPr>
              <w:pStyle w:val="TableText"/>
            </w:pPr>
          </w:p>
        </w:tc>
        <w:tc>
          <w:tcPr>
            <w:tcW w:w="624" w:type="dxa"/>
          </w:tcPr>
          <w:p w14:paraId="58CD2E4B" w14:textId="77777777" w:rsidR="00027DEB" w:rsidRDefault="00027DEB" w:rsidP="00C57C6F">
            <w:pPr>
              <w:pStyle w:val="TableText"/>
            </w:pPr>
          </w:p>
        </w:tc>
        <w:tc>
          <w:tcPr>
            <w:tcW w:w="624" w:type="dxa"/>
          </w:tcPr>
          <w:p w14:paraId="5275E9EF" w14:textId="77777777" w:rsidR="00027DEB" w:rsidRDefault="00027DEB" w:rsidP="00C57C6F">
            <w:pPr>
              <w:pStyle w:val="TableText"/>
            </w:pPr>
          </w:p>
        </w:tc>
        <w:tc>
          <w:tcPr>
            <w:tcW w:w="624" w:type="dxa"/>
          </w:tcPr>
          <w:p w14:paraId="109C44E0" w14:textId="77777777" w:rsidR="00027DEB" w:rsidRDefault="00027DEB" w:rsidP="00C57C6F">
            <w:pPr>
              <w:pStyle w:val="TableText"/>
            </w:pPr>
          </w:p>
        </w:tc>
        <w:tc>
          <w:tcPr>
            <w:tcW w:w="624" w:type="dxa"/>
          </w:tcPr>
          <w:p w14:paraId="560B110D" w14:textId="77777777" w:rsidR="00027DEB" w:rsidRDefault="00027DEB" w:rsidP="00C57C6F">
            <w:pPr>
              <w:pStyle w:val="TableText"/>
            </w:pPr>
          </w:p>
        </w:tc>
        <w:tc>
          <w:tcPr>
            <w:tcW w:w="4649" w:type="dxa"/>
            <w:gridSpan w:val="3"/>
          </w:tcPr>
          <w:p w14:paraId="019A0B19" w14:textId="5343EFFD" w:rsidR="00027DEB" w:rsidRPr="00536103" w:rsidRDefault="00027DEB" w:rsidP="001A545A">
            <w:pPr>
              <w:pStyle w:val="TableBlockOutdent"/>
            </w:pPr>
            <w:r w:rsidRPr="00536103">
              <w:rPr>
                <w:rFonts w:hint="cs"/>
                <w:rtl/>
              </w:rPr>
              <w:t xml:space="preserve">"אדם" </w:t>
            </w:r>
            <w:r w:rsidRPr="00536103">
              <w:rPr>
                <w:rtl/>
              </w:rPr>
              <w:t>–</w:t>
            </w:r>
            <w:r w:rsidRPr="00536103">
              <w:rPr>
                <w:rFonts w:hint="cs"/>
                <w:rtl/>
              </w:rPr>
              <w:t xml:space="preserve"> כהגדרתו בסעיף 4 ל</w:t>
            </w:r>
            <w:r w:rsidRPr="00536103">
              <w:rPr>
                <w:rtl/>
              </w:rPr>
              <w:t xml:space="preserve">חוק הפרשנות, </w:t>
            </w:r>
            <w:proofErr w:type="spellStart"/>
            <w:r w:rsidRPr="00536103">
              <w:rPr>
                <w:rFonts w:hint="cs"/>
                <w:rtl/>
              </w:rPr>
              <w:t>ה</w:t>
            </w:r>
            <w:r w:rsidRPr="00536103">
              <w:rPr>
                <w:rtl/>
              </w:rPr>
              <w:t>תשמ"א</w:t>
            </w:r>
            <w:proofErr w:type="spellEnd"/>
            <w:r w:rsidRPr="00536103">
              <w:rPr>
                <w:rFonts w:hint="cs"/>
                <w:rtl/>
              </w:rPr>
              <w:t>–</w:t>
            </w:r>
            <w:r w:rsidRPr="00536103">
              <w:rPr>
                <w:rtl/>
              </w:rPr>
              <w:t>1981</w:t>
            </w:r>
            <w:r w:rsidRPr="00536103">
              <w:rPr>
                <w:rFonts w:hint="cs"/>
                <w:rtl/>
              </w:rPr>
              <w:t>, לרבות מחזיק של מקום ציבורי ונושא משרה בתאגיד שהוא המחזיק של מקום ציבורי</w:t>
            </w:r>
            <w:r w:rsidRPr="00536103">
              <w:rPr>
                <w:rtl/>
              </w:rPr>
              <w:t>;</w:t>
            </w:r>
            <w:r w:rsidRPr="00536103">
              <w:rPr>
                <w:rFonts w:hint="cs"/>
                <w:rtl/>
              </w:rPr>
              <w:t xml:space="preserve"> </w:t>
            </w:r>
          </w:p>
        </w:tc>
      </w:tr>
      <w:tr w:rsidR="00027DEB" w14:paraId="2D2AF71F" w14:textId="77777777" w:rsidTr="00C57C6F">
        <w:trPr>
          <w:cantSplit/>
          <w:trHeight w:val="60"/>
        </w:trPr>
        <w:tc>
          <w:tcPr>
            <w:tcW w:w="1869" w:type="dxa"/>
          </w:tcPr>
          <w:p w14:paraId="13C5995B" w14:textId="77777777" w:rsidR="00027DEB" w:rsidRDefault="00027DEB" w:rsidP="00C57C6F">
            <w:pPr>
              <w:pStyle w:val="TableSideHeading"/>
              <w:rPr>
                <w:rtl/>
              </w:rPr>
            </w:pPr>
          </w:p>
        </w:tc>
        <w:tc>
          <w:tcPr>
            <w:tcW w:w="624" w:type="dxa"/>
          </w:tcPr>
          <w:p w14:paraId="1E98F65D" w14:textId="77777777" w:rsidR="00027DEB" w:rsidRDefault="00027DEB" w:rsidP="00C57C6F">
            <w:pPr>
              <w:pStyle w:val="TableText"/>
            </w:pPr>
          </w:p>
        </w:tc>
        <w:tc>
          <w:tcPr>
            <w:tcW w:w="624" w:type="dxa"/>
          </w:tcPr>
          <w:p w14:paraId="6D3015C0" w14:textId="77777777" w:rsidR="00027DEB" w:rsidRDefault="00027DEB" w:rsidP="00C57C6F">
            <w:pPr>
              <w:pStyle w:val="TableText"/>
            </w:pPr>
          </w:p>
        </w:tc>
        <w:tc>
          <w:tcPr>
            <w:tcW w:w="624" w:type="dxa"/>
          </w:tcPr>
          <w:p w14:paraId="68BF65A4" w14:textId="77777777" w:rsidR="00027DEB" w:rsidRDefault="00027DEB" w:rsidP="00C57C6F">
            <w:pPr>
              <w:pStyle w:val="TableText"/>
            </w:pPr>
          </w:p>
        </w:tc>
        <w:tc>
          <w:tcPr>
            <w:tcW w:w="624" w:type="dxa"/>
          </w:tcPr>
          <w:p w14:paraId="11AB229E" w14:textId="77777777" w:rsidR="00027DEB" w:rsidRDefault="00027DEB" w:rsidP="00C57C6F">
            <w:pPr>
              <w:pStyle w:val="TableText"/>
            </w:pPr>
          </w:p>
        </w:tc>
        <w:tc>
          <w:tcPr>
            <w:tcW w:w="624" w:type="dxa"/>
          </w:tcPr>
          <w:p w14:paraId="6D5BB94C" w14:textId="77777777" w:rsidR="00027DEB" w:rsidRDefault="00027DEB" w:rsidP="00C57C6F">
            <w:pPr>
              <w:pStyle w:val="TableText"/>
            </w:pPr>
          </w:p>
        </w:tc>
        <w:tc>
          <w:tcPr>
            <w:tcW w:w="4649" w:type="dxa"/>
            <w:gridSpan w:val="3"/>
          </w:tcPr>
          <w:p w14:paraId="72E097C3" w14:textId="77777777" w:rsidR="00027DEB" w:rsidRPr="00536103" w:rsidRDefault="00027DEB" w:rsidP="00C57C6F">
            <w:pPr>
              <w:pStyle w:val="TableBlockOutdent"/>
              <w:rPr>
                <w:rtl/>
              </w:rPr>
            </w:pPr>
            <w:r w:rsidRPr="00536103">
              <w:rPr>
                <w:rFonts w:hint="cs"/>
                <w:rtl/>
              </w:rPr>
              <w:t xml:space="preserve">"זיכיון" </w:t>
            </w:r>
            <w:r w:rsidRPr="00536103">
              <w:rPr>
                <w:rtl/>
              </w:rPr>
              <w:t>–</w:t>
            </w:r>
            <w:r w:rsidRPr="00536103">
              <w:rPr>
                <w:rFonts w:hint="cs"/>
                <w:rtl/>
              </w:rPr>
              <w:t xml:space="preserve"> כהגדרתו בכללי ההגבלים העסקיים (פטור סוג להסכמי זכיינות), </w:t>
            </w:r>
            <w:proofErr w:type="spellStart"/>
            <w:r w:rsidRPr="00536103">
              <w:rPr>
                <w:rFonts w:hint="cs"/>
                <w:rtl/>
              </w:rPr>
              <w:t>התשס"א</w:t>
            </w:r>
            <w:proofErr w:type="spellEnd"/>
            <w:r w:rsidRPr="00536103">
              <w:rPr>
                <w:rFonts w:hint="eastAsia"/>
                <w:rtl/>
              </w:rPr>
              <w:t>–</w:t>
            </w:r>
            <w:r w:rsidRPr="00536103">
              <w:rPr>
                <w:rFonts w:hint="cs"/>
                <w:rtl/>
              </w:rPr>
              <w:t>2001</w:t>
            </w:r>
            <w:r w:rsidRPr="00C57C6F">
              <w:rPr>
                <w:sz w:val="14"/>
                <w:szCs w:val="20"/>
                <w:rtl/>
              </w:rPr>
              <w:footnoteReference w:id="3"/>
            </w:r>
            <w:r w:rsidRPr="00536103">
              <w:rPr>
                <w:rtl/>
              </w:rPr>
              <w:t>;</w:t>
            </w:r>
          </w:p>
        </w:tc>
      </w:tr>
      <w:tr w:rsidR="00027DEB" w14:paraId="117CADAD" w14:textId="77777777" w:rsidTr="00C57C6F">
        <w:trPr>
          <w:cantSplit/>
          <w:trHeight w:val="60"/>
        </w:trPr>
        <w:tc>
          <w:tcPr>
            <w:tcW w:w="1869" w:type="dxa"/>
          </w:tcPr>
          <w:p w14:paraId="64572DA9" w14:textId="77777777" w:rsidR="00027DEB" w:rsidRDefault="00027DEB" w:rsidP="00C57C6F">
            <w:pPr>
              <w:pStyle w:val="TableSideHeading"/>
              <w:rPr>
                <w:rtl/>
              </w:rPr>
            </w:pPr>
          </w:p>
        </w:tc>
        <w:tc>
          <w:tcPr>
            <w:tcW w:w="624" w:type="dxa"/>
          </w:tcPr>
          <w:p w14:paraId="7F7F9E95" w14:textId="77777777" w:rsidR="00027DEB" w:rsidRDefault="00027DEB" w:rsidP="00C57C6F">
            <w:pPr>
              <w:pStyle w:val="TableText"/>
            </w:pPr>
          </w:p>
        </w:tc>
        <w:tc>
          <w:tcPr>
            <w:tcW w:w="624" w:type="dxa"/>
          </w:tcPr>
          <w:p w14:paraId="5DF3B370" w14:textId="77777777" w:rsidR="00027DEB" w:rsidRDefault="00027DEB" w:rsidP="00C57C6F">
            <w:pPr>
              <w:pStyle w:val="TableText"/>
            </w:pPr>
          </w:p>
        </w:tc>
        <w:tc>
          <w:tcPr>
            <w:tcW w:w="624" w:type="dxa"/>
          </w:tcPr>
          <w:p w14:paraId="6937AC85" w14:textId="77777777" w:rsidR="00027DEB" w:rsidRDefault="00027DEB" w:rsidP="00C57C6F">
            <w:pPr>
              <w:pStyle w:val="TableText"/>
            </w:pPr>
          </w:p>
        </w:tc>
        <w:tc>
          <w:tcPr>
            <w:tcW w:w="624" w:type="dxa"/>
          </w:tcPr>
          <w:p w14:paraId="17E26C8B" w14:textId="77777777" w:rsidR="00027DEB" w:rsidRDefault="00027DEB" w:rsidP="00C57C6F">
            <w:pPr>
              <w:pStyle w:val="TableText"/>
            </w:pPr>
          </w:p>
        </w:tc>
        <w:tc>
          <w:tcPr>
            <w:tcW w:w="624" w:type="dxa"/>
          </w:tcPr>
          <w:p w14:paraId="646ADE7F" w14:textId="77777777" w:rsidR="00027DEB" w:rsidRDefault="00027DEB" w:rsidP="00C57C6F">
            <w:pPr>
              <w:pStyle w:val="TableText"/>
            </w:pPr>
          </w:p>
        </w:tc>
        <w:tc>
          <w:tcPr>
            <w:tcW w:w="4649" w:type="dxa"/>
            <w:gridSpan w:val="3"/>
          </w:tcPr>
          <w:p w14:paraId="72E68B58" w14:textId="10A9B4C9" w:rsidR="00027DEB" w:rsidRPr="00FA1B04" w:rsidRDefault="00C57C6F" w:rsidP="00C57C6F">
            <w:pPr>
              <w:pStyle w:val="TableBlockOutdent"/>
              <w:rPr>
                <w:rtl/>
              </w:rPr>
            </w:pPr>
            <w:r w:rsidRPr="00FA1B04">
              <w:rPr>
                <w:rFonts w:hint="cs"/>
                <w:rtl/>
              </w:rPr>
              <w:t xml:space="preserve">"חוק סדר הדין הפלילי" </w:t>
            </w:r>
            <w:r w:rsidRPr="00FA1B04">
              <w:rPr>
                <w:rtl/>
              </w:rPr>
              <w:t>–</w:t>
            </w:r>
            <w:r w:rsidRPr="00FA1B04">
              <w:rPr>
                <w:rFonts w:hint="cs"/>
                <w:rtl/>
              </w:rPr>
              <w:t xml:space="preserve"> </w:t>
            </w:r>
            <w:r w:rsidRPr="00FA1B04">
              <w:rPr>
                <w:rtl/>
              </w:rPr>
              <w:t xml:space="preserve">חוק סדר הדין הפלילי [נוסח משולב], </w:t>
            </w:r>
            <w:proofErr w:type="spellStart"/>
            <w:r>
              <w:rPr>
                <w:rFonts w:hint="cs"/>
                <w:rtl/>
              </w:rPr>
              <w:t>ה</w:t>
            </w:r>
            <w:r w:rsidRPr="00FA1B04">
              <w:rPr>
                <w:rtl/>
              </w:rPr>
              <w:t>תשמ"ב</w:t>
            </w:r>
            <w:proofErr w:type="spellEnd"/>
            <w:r>
              <w:rPr>
                <w:rFonts w:hint="cs"/>
                <w:rtl/>
              </w:rPr>
              <w:t>–</w:t>
            </w:r>
            <w:r w:rsidRPr="00FA1B04">
              <w:rPr>
                <w:rtl/>
              </w:rPr>
              <w:t>1982</w:t>
            </w:r>
            <w:r>
              <w:rPr>
                <w:rStyle w:val="a7"/>
                <w:rtl/>
              </w:rPr>
              <w:footnoteReference w:id="4"/>
            </w:r>
            <w:r w:rsidRPr="00320AF2">
              <w:rPr>
                <w:rFonts w:hint="cs"/>
                <w:rtl/>
              </w:rPr>
              <w:t>;</w:t>
            </w:r>
          </w:p>
        </w:tc>
      </w:tr>
      <w:tr w:rsidR="00C57C6F" w14:paraId="7F045D69" w14:textId="77777777" w:rsidTr="00C57C6F">
        <w:trPr>
          <w:cantSplit/>
          <w:trHeight w:val="60"/>
        </w:trPr>
        <w:tc>
          <w:tcPr>
            <w:tcW w:w="1869" w:type="dxa"/>
          </w:tcPr>
          <w:p w14:paraId="47B93993" w14:textId="77777777" w:rsidR="00C57C6F" w:rsidRDefault="00C57C6F" w:rsidP="00C57C6F">
            <w:pPr>
              <w:pStyle w:val="TableSideHeading"/>
              <w:rPr>
                <w:rtl/>
              </w:rPr>
            </w:pPr>
          </w:p>
        </w:tc>
        <w:tc>
          <w:tcPr>
            <w:tcW w:w="624" w:type="dxa"/>
          </w:tcPr>
          <w:p w14:paraId="27E29AAA" w14:textId="77777777" w:rsidR="00C57C6F" w:rsidRDefault="00C57C6F" w:rsidP="00C57C6F">
            <w:pPr>
              <w:pStyle w:val="TableText"/>
            </w:pPr>
          </w:p>
        </w:tc>
        <w:tc>
          <w:tcPr>
            <w:tcW w:w="624" w:type="dxa"/>
          </w:tcPr>
          <w:p w14:paraId="3B543291" w14:textId="77777777" w:rsidR="00C57C6F" w:rsidRDefault="00C57C6F" w:rsidP="00C57C6F">
            <w:pPr>
              <w:pStyle w:val="TableText"/>
            </w:pPr>
          </w:p>
        </w:tc>
        <w:tc>
          <w:tcPr>
            <w:tcW w:w="624" w:type="dxa"/>
          </w:tcPr>
          <w:p w14:paraId="2824B11B" w14:textId="77777777" w:rsidR="00C57C6F" w:rsidRDefault="00C57C6F" w:rsidP="00C57C6F">
            <w:pPr>
              <w:pStyle w:val="TableText"/>
            </w:pPr>
          </w:p>
        </w:tc>
        <w:tc>
          <w:tcPr>
            <w:tcW w:w="624" w:type="dxa"/>
          </w:tcPr>
          <w:p w14:paraId="22AB16C7" w14:textId="77777777" w:rsidR="00C57C6F" w:rsidRDefault="00C57C6F" w:rsidP="00C57C6F">
            <w:pPr>
              <w:pStyle w:val="TableText"/>
            </w:pPr>
          </w:p>
        </w:tc>
        <w:tc>
          <w:tcPr>
            <w:tcW w:w="624" w:type="dxa"/>
          </w:tcPr>
          <w:p w14:paraId="18958C17" w14:textId="77777777" w:rsidR="00C57C6F" w:rsidRDefault="00C57C6F" w:rsidP="00C57C6F">
            <w:pPr>
              <w:pStyle w:val="TableText"/>
            </w:pPr>
          </w:p>
        </w:tc>
        <w:tc>
          <w:tcPr>
            <w:tcW w:w="4649" w:type="dxa"/>
            <w:gridSpan w:val="3"/>
          </w:tcPr>
          <w:p w14:paraId="3C2BFFE2" w14:textId="407E0725" w:rsidR="00C57C6F" w:rsidRPr="00FA1B04" w:rsidRDefault="00C57C6F" w:rsidP="00C57C6F">
            <w:pPr>
              <w:pStyle w:val="TableBlockOutdent"/>
              <w:rPr>
                <w:rtl/>
              </w:rPr>
            </w:pPr>
            <w:r w:rsidRPr="00FA1B04">
              <w:rPr>
                <w:rFonts w:hint="cs"/>
                <w:rtl/>
              </w:rPr>
              <w:t xml:space="preserve">"חוק העונשין" </w:t>
            </w:r>
            <w:r w:rsidRPr="00FA1B04">
              <w:rPr>
                <w:rtl/>
              </w:rPr>
              <w:t>–</w:t>
            </w:r>
            <w:r w:rsidRPr="00FA1B04">
              <w:rPr>
                <w:rFonts w:hint="cs"/>
                <w:rtl/>
              </w:rPr>
              <w:t xml:space="preserve"> חוק העונשין, </w:t>
            </w:r>
            <w:proofErr w:type="spellStart"/>
            <w:r w:rsidRPr="00FA1B04">
              <w:rPr>
                <w:rFonts w:hint="cs"/>
                <w:rtl/>
              </w:rPr>
              <w:t>התשל"ז</w:t>
            </w:r>
            <w:proofErr w:type="spellEnd"/>
            <w:r>
              <w:rPr>
                <w:rFonts w:hint="eastAsia"/>
                <w:rtl/>
              </w:rPr>
              <w:t>–</w:t>
            </w:r>
            <w:r w:rsidRPr="00FA1B04">
              <w:rPr>
                <w:rFonts w:hint="cs"/>
                <w:rtl/>
              </w:rPr>
              <w:t>1977</w:t>
            </w:r>
            <w:r>
              <w:rPr>
                <w:rStyle w:val="a7"/>
                <w:rtl/>
              </w:rPr>
              <w:footnoteReference w:id="5"/>
            </w:r>
            <w:r w:rsidRPr="00FA1B04">
              <w:rPr>
                <w:rtl/>
              </w:rPr>
              <w:t>;</w:t>
            </w:r>
          </w:p>
        </w:tc>
      </w:tr>
      <w:tr w:rsidR="00027DEB" w14:paraId="4FDC510B" w14:textId="77777777" w:rsidTr="00C57C6F">
        <w:trPr>
          <w:cantSplit/>
          <w:trHeight w:val="60"/>
        </w:trPr>
        <w:tc>
          <w:tcPr>
            <w:tcW w:w="1869" w:type="dxa"/>
          </w:tcPr>
          <w:p w14:paraId="354349A1" w14:textId="77777777" w:rsidR="00027DEB" w:rsidRDefault="00027DEB" w:rsidP="00C57C6F">
            <w:pPr>
              <w:pStyle w:val="TableSideHeading"/>
              <w:rPr>
                <w:rtl/>
              </w:rPr>
            </w:pPr>
          </w:p>
        </w:tc>
        <w:tc>
          <w:tcPr>
            <w:tcW w:w="624" w:type="dxa"/>
          </w:tcPr>
          <w:p w14:paraId="716C83F8" w14:textId="77777777" w:rsidR="00027DEB" w:rsidRDefault="00027DEB" w:rsidP="00C57C6F">
            <w:pPr>
              <w:pStyle w:val="TableText"/>
            </w:pPr>
          </w:p>
        </w:tc>
        <w:tc>
          <w:tcPr>
            <w:tcW w:w="624" w:type="dxa"/>
          </w:tcPr>
          <w:p w14:paraId="6B0FC32B" w14:textId="77777777" w:rsidR="00027DEB" w:rsidRDefault="00027DEB" w:rsidP="00C57C6F">
            <w:pPr>
              <w:pStyle w:val="TableText"/>
            </w:pPr>
          </w:p>
        </w:tc>
        <w:tc>
          <w:tcPr>
            <w:tcW w:w="624" w:type="dxa"/>
          </w:tcPr>
          <w:p w14:paraId="56BF2F0C" w14:textId="77777777" w:rsidR="00027DEB" w:rsidRDefault="00027DEB" w:rsidP="00C57C6F">
            <w:pPr>
              <w:pStyle w:val="TableText"/>
            </w:pPr>
          </w:p>
        </w:tc>
        <w:tc>
          <w:tcPr>
            <w:tcW w:w="624" w:type="dxa"/>
          </w:tcPr>
          <w:p w14:paraId="7F7CC4E2" w14:textId="77777777" w:rsidR="00027DEB" w:rsidRDefault="00027DEB" w:rsidP="00C57C6F">
            <w:pPr>
              <w:pStyle w:val="TableText"/>
            </w:pPr>
          </w:p>
        </w:tc>
        <w:tc>
          <w:tcPr>
            <w:tcW w:w="624" w:type="dxa"/>
          </w:tcPr>
          <w:p w14:paraId="709A1706" w14:textId="77777777" w:rsidR="00027DEB" w:rsidRDefault="00027DEB" w:rsidP="00C57C6F">
            <w:pPr>
              <w:pStyle w:val="TableText"/>
            </w:pPr>
          </w:p>
        </w:tc>
        <w:tc>
          <w:tcPr>
            <w:tcW w:w="4649" w:type="dxa"/>
            <w:gridSpan w:val="3"/>
          </w:tcPr>
          <w:p w14:paraId="62722402" w14:textId="77777777" w:rsidR="00027DEB" w:rsidRPr="00354200" w:rsidRDefault="00027DEB" w:rsidP="00C57C6F">
            <w:pPr>
              <w:pStyle w:val="TableBlockOutdent"/>
              <w:rPr>
                <w:rtl/>
              </w:rPr>
            </w:pPr>
            <w:r w:rsidRPr="00FA1B04">
              <w:rPr>
                <w:rFonts w:hint="cs"/>
                <w:rtl/>
              </w:rPr>
              <w:t xml:space="preserve">"מאפרה" </w:t>
            </w:r>
            <w:r w:rsidRPr="00FA1B04">
              <w:rPr>
                <w:rtl/>
              </w:rPr>
              <w:t>–</w:t>
            </w:r>
            <w:r w:rsidRPr="00FA1B04">
              <w:rPr>
                <w:rFonts w:hint="cs"/>
                <w:rtl/>
              </w:rPr>
              <w:t xml:space="preserve"> </w:t>
            </w:r>
            <w:r w:rsidRPr="00FA1B04">
              <w:rPr>
                <w:rtl/>
              </w:rPr>
              <w:t xml:space="preserve">כלי המיועד </w:t>
            </w:r>
            <w:r w:rsidRPr="00FA1B04">
              <w:rPr>
                <w:rFonts w:hint="cs"/>
                <w:rtl/>
              </w:rPr>
              <w:t>או המשמש בפועל להשלכת אפר ושיירי מוצרי</w:t>
            </w:r>
            <w:r w:rsidRPr="00320AF2">
              <w:rPr>
                <w:rFonts w:hint="cs"/>
                <w:rtl/>
              </w:rPr>
              <w:t xml:space="preserve"> עישון לתוכו, אף אם ייעוד</w:t>
            </w:r>
            <w:r w:rsidRPr="00320AF2">
              <w:rPr>
                <w:rFonts w:hint="eastAsia"/>
                <w:rtl/>
              </w:rPr>
              <w:t>ו</w:t>
            </w:r>
            <w:r w:rsidRPr="00320AF2">
              <w:rPr>
                <w:rFonts w:hint="cs"/>
                <w:rtl/>
              </w:rPr>
              <w:t xml:space="preserve"> המקורי אינו כזה</w:t>
            </w:r>
            <w:r w:rsidRPr="00354200">
              <w:rPr>
                <w:rtl/>
              </w:rPr>
              <w:t>;</w:t>
            </w:r>
          </w:p>
        </w:tc>
      </w:tr>
      <w:tr w:rsidR="00027DEB" w14:paraId="713F1CD5" w14:textId="77777777" w:rsidTr="00C57C6F">
        <w:trPr>
          <w:cantSplit/>
          <w:trHeight w:val="60"/>
        </w:trPr>
        <w:tc>
          <w:tcPr>
            <w:tcW w:w="1869" w:type="dxa"/>
          </w:tcPr>
          <w:p w14:paraId="521DF78D" w14:textId="77777777" w:rsidR="00027DEB" w:rsidRDefault="00027DEB" w:rsidP="00C57C6F">
            <w:pPr>
              <w:pStyle w:val="TableSideHeading"/>
              <w:rPr>
                <w:rtl/>
              </w:rPr>
            </w:pPr>
          </w:p>
        </w:tc>
        <w:tc>
          <w:tcPr>
            <w:tcW w:w="624" w:type="dxa"/>
          </w:tcPr>
          <w:p w14:paraId="62AEACEB" w14:textId="77777777" w:rsidR="00027DEB" w:rsidRDefault="00027DEB" w:rsidP="00C57C6F">
            <w:pPr>
              <w:pStyle w:val="TableText"/>
            </w:pPr>
          </w:p>
        </w:tc>
        <w:tc>
          <w:tcPr>
            <w:tcW w:w="624" w:type="dxa"/>
          </w:tcPr>
          <w:p w14:paraId="622CA543" w14:textId="77777777" w:rsidR="00027DEB" w:rsidRDefault="00027DEB" w:rsidP="00C57C6F">
            <w:pPr>
              <w:pStyle w:val="TableText"/>
            </w:pPr>
          </w:p>
        </w:tc>
        <w:tc>
          <w:tcPr>
            <w:tcW w:w="624" w:type="dxa"/>
          </w:tcPr>
          <w:p w14:paraId="65CCD8C6" w14:textId="77777777" w:rsidR="00027DEB" w:rsidRDefault="00027DEB" w:rsidP="00C57C6F">
            <w:pPr>
              <w:pStyle w:val="TableText"/>
            </w:pPr>
          </w:p>
        </w:tc>
        <w:tc>
          <w:tcPr>
            <w:tcW w:w="624" w:type="dxa"/>
          </w:tcPr>
          <w:p w14:paraId="7EA5112C" w14:textId="77777777" w:rsidR="00027DEB" w:rsidRDefault="00027DEB" w:rsidP="00C57C6F">
            <w:pPr>
              <w:pStyle w:val="TableText"/>
            </w:pPr>
          </w:p>
        </w:tc>
        <w:tc>
          <w:tcPr>
            <w:tcW w:w="624" w:type="dxa"/>
          </w:tcPr>
          <w:p w14:paraId="1D90BEBF" w14:textId="77777777" w:rsidR="00027DEB" w:rsidRDefault="00027DEB" w:rsidP="00C57C6F">
            <w:pPr>
              <w:pStyle w:val="TableText"/>
            </w:pPr>
          </w:p>
        </w:tc>
        <w:tc>
          <w:tcPr>
            <w:tcW w:w="4649" w:type="dxa"/>
            <w:gridSpan w:val="3"/>
          </w:tcPr>
          <w:p w14:paraId="54F25F4E" w14:textId="77777777" w:rsidR="00027DEB" w:rsidRPr="00320AF2" w:rsidRDefault="00027DEB" w:rsidP="00C57C6F">
            <w:pPr>
              <w:pStyle w:val="TableBlockOutdent"/>
              <w:rPr>
                <w:rtl/>
              </w:rPr>
            </w:pPr>
            <w:r w:rsidRPr="00FA1B04">
              <w:rPr>
                <w:rFonts w:hint="cs"/>
                <w:rtl/>
              </w:rPr>
              <w:t>"</w:t>
            </w:r>
            <w:r w:rsidRPr="00FA1B04">
              <w:rPr>
                <w:rtl/>
              </w:rPr>
              <w:t xml:space="preserve">מוצר טבק" – טבק בכל צורה שהיא </w:t>
            </w:r>
            <w:r>
              <w:rPr>
                <w:rFonts w:hint="cs"/>
                <w:rtl/>
              </w:rPr>
              <w:t>ה</w:t>
            </w:r>
            <w:r w:rsidRPr="00FA1B04">
              <w:rPr>
                <w:rFonts w:hint="cs"/>
                <w:rtl/>
              </w:rPr>
              <w:t>משמש</w:t>
            </w:r>
            <w:r w:rsidRPr="00FA1B04">
              <w:rPr>
                <w:rtl/>
              </w:rPr>
              <w:t xml:space="preserve"> לעישון, להרחה, ללעיסה או למציצה, לרבות סיגריות, סיגרים, </w:t>
            </w:r>
            <w:proofErr w:type="spellStart"/>
            <w:r w:rsidRPr="00FA1B04">
              <w:rPr>
                <w:rtl/>
              </w:rPr>
              <w:t>סיגרלות</w:t>
            </w:r>
            <w:proofErr w:type="spellEnd"/>
            <w:r w:rsidRPr="00FA1B04">
              <w:rPr>
                <w:rtl/>
              </w:rPr>
              <w:t>, טבק לנרגילה וטבק למקטרת;</w:t>
            </w:r>
          </w:p>
        </w:tc>
      </w:tr>
      <w:tr w:rsidR="00027DEB" w14:paraId="43ADC8D5" w14:textId="77777777" w:rsidTr="00C57C6F">
        <w:trPr>
          <w:cantSplit/>
          <w:trHeight w:val="60"/>
        </w:trPr>
        <w:tc>
          <w:tcPr>
            <w:tcW w:w="1869" w:type="dxa"/>
          </w:tcPr>
          <w:p w14:paraId="1D420DFE" w14:textId="77777777" w:rsidR="00027DEB" w:rsidRDefault="00027DEB" w:rsidP="00C57C6F">
            <w:pPr>
              <w:pStyle w:val="TableSideHeading"/>
              <w:rPr>
                <w:rtl/>
              </w:rPr>
            </w:pPr>
          </w:p>
        </w:tc>
        <w:tc>
          <w:tcPr>
            <w:tcW w:w="624" w:type="dxa"/>
          </w:tcPr>
          <w:p w14:paraId="0A1F916F" w14:textId="77777777" w:rsidR="00027DEB" w:rsidRDefault="00027DEB" w:rsidP="00C57C6F">
            <w:pPr>
              <w:pStyle w:val="TableText"/>
            </w:pPr>
          </w:p>
        </w:tc>
        <w:tc>
          <w:tcPr>
            <w:tcW w:w="624" w:type="dxa"/>
          </w:tcPr>
          <w:p w14:paraId="781AFFBA" w14:textId="77777777" w:rsidR="00027DEB" w:rsidRDefault="00027DEB" w:rsidP="00C57C6F">
            <w:pPr>
              <w:pStyle w:val="TableText"/>
            </w:pPr>
          </w:p>
        </w:tc>
        <w:tc>
          <w:tcPr>
            <w:tcW w:w="624" w:type="dxa"/>
          </w:tcPr>
          <w:p w14:paraId="3ED16972" w14:textId="77777777" w:rsidR="00027DEB" w:rsidRDefault="00027DEB" w:rsidP="00C57C6F">
            <w:pPr>
              <w:pStyle w:val="TableText"/>
            </w:pPr>
          </w:p>
        </w:tc>
        <w:tc>
          <w:tcPr>
            <w:tcW w:w="624" w:type="dxa"/>
          </w:tcPr>
          <w:p w14:paraId="02C72365" w14:textId="77777777" w:rsidR="00027DEB" w:rsidRDefault="00027DEB" w:rsidP="00C57C6F">
            <w:pPr>
              <w:pStyle w:val="TableText"/>
            </w:pPr>
          </w:p>
        </w:tc>
        <w:tc>
          <w:tcPr>
            <w:tcW w:w="624" w:type="dxa"/>
          </w:tcPr>
          <w:p w14:paraId="2CA5792A" w14:textId="77777777" w:rsidR="00027DEB" w:rsidRDefault="00027DEB" w:rsidP="00C57C6F">
            <w:pPr>
              <w:pStyle w:val="TableText"/>
            </w:pPr>
          </w:p>
        </w:tc>
        <w:tc>
          <w:tcPr>
            <w:tcW w:w="4649" w:type="dxa"/>
            <w:gridSpan w:val="3"/>
          </w:tcPr>
          <w:p w14:paraId="6325FED3" w14:textId="77777777" w:rsidR="00027DEB" w:rsidRPr="00FA1B04" w:rsidRDefault="00027DEB" w:rsidP="00C57C6F">
            <w:pPr>
              <w:pStyle w:val="TableBlockOutdent"/>
              <w:rPr>
                <w:rtl/>
              </w:rPr>
            </w:pPr>
            <w:r w:rsidRPr="003C16D3">
              <w:rPr>
                <w:rtl/>
              </w:rPr>
              <w:t>"מוצר עישון"</w:t>
            </w:r>
            <w:r w:rsidRPr="003C16D3">
              <w:rPr>
                <w:rFonts w:hint="cs"/>
                <w:rtl/>
              </w:rPr>
              <w:t xml:space="preserve"> </w:t>
            </w:r>
            <w:r w:rsidRPr="003C16D3">
              <w:rPr>
                <w:rtl/>
              </w:rPr>
              <w:t>–</w:t>
            </w:r>
            <w:r w:rsidRPr="003C16D3">
              <w:rPr>
                <w:rFonts w:hint="cs"/>
                <w:rtl/>
              </w:rPr>
              <w:t xml:space="preserve"> </w:t>
            </w:r>
            <w:r w:rsidRPr="003C16D3">
              <w:rPr>
                <w:rtl/>
              </w:rPr>
              <w:t>כל מוצר המשמש לעישון או לשאיפת אדים</w:t>
            </w:r>
            <w:r w:rsidRPr="003C16D3">
              <w:rPr>
                <w:rFonts w:hint="cs"/>
                <w:rtl/>
              </w:rPr>
              <w:t>, לרבות</w:t>
            </w:r>
            <w:r w:rsidRPr="003C16D3">
              <w:rPr>
                <w:rtl/>
              </w:rPr>
              <w:t>:</w:t>
            </w:r>
          </w:p>
        </w:tc>
      </w:tr>
      <w:tr w:rsidR="00027DEB" w14:paraId="4E8A221C" w14:textId="77777777" w:rsidTr="00C57C6F">
        <w:trPr>
          <w:cantSplit/>
          <w:trHeight w:val="60"/>
        </w:trPr>
        <w:tc>
          <w:tcPr>
            <w:tcW w:w="1869" w:type="dxa"/>
          </w:tcPr>
          <w:p w14:paraId="7CFE6798" w14:textId="77777777" w:rsidR="00027DEB" w:rsidRDefault="00027DEB" w:rsidP="00C57C6F">
            <w:pPr>
              <w:pStyle w:val="TableSideHeading"/>
            </w:pPr>
          </w:p>
        </w:tc>
        <w:tc>
          <w:tcPr>
            <w:tcW w:w="624" w:type="dxa"/>
          </w:tcPr>
          <w:p w14:paraId="46D938B7" w14:textId="77777777" w:rsidR="00027DEB" w:rsidRDefault="00027DEB" w:rsidP="00C57C6F">
            <w:pPr>
              <w:pStyle w:val="TableText"/>
            </w:pPr>
          </w:p>
        </w:tc>
        <w:tc>
          <w:tcPr>
            <w:tcW w:w="624" w:type="dxa"/>
          </w:tcPr>
          <w:p w14:paraId="1661A01F" w14:textId="77777777" w:rsidR="00027DEB" w:rsidRDefault="00027DEB" w:rsidP="00C57C6F">
            <w:pPr>
              <w:pStyle w:val="TableText"/>
            </w:pPr>
          </w:p>
        </w:tc>
        <w:tc>
          <w:tcPr>
            <w:tcW w:w="624" w:type="dxa"/>
          </w:tcPr>
          <w:p w14:paraId="3A487E5C" w14:textId="77777777" w:rsidR="00027DEB" w:rsidRDefault="00027DEB" w:rsidP="00C57C6F">
            <w:pPr>
              <w:pStyle w:val="TableText"/>
            </w:pPr>
          </w:p>
        </w:tc>
        <w:tc>
          <w:tcPr>
            <w:tcW w:w="624" w:type="dxa"/>
          </w:tcPr>
          <w:p w14:paraId="0A2452A3" w14:textId="77777777" w:rsidR="00027DEB" w:rsidRDefault="00027DEB" w:rsidP="00C57C6F">
            <w:pPr>
              <w:pStyle w:val="TableText"/>
            </w:pPr>
          </w:p>
        </w:tc>
        <w:tc>
          <w:tcPr>
            <w:tcW w:w="624" w:type="dxa"/>
          </w:tcPr>
          <w:p w14:paraId="2E82E812" w14:textId="77777777" w:rsidR="00027DEB" w:rsidRDefault="00027DEB" w:rsidP="00C57C6F">
            <w:pPr>
              <w:pStyle w:val="TableText"/>
            </w:pPr>
          </w:p>
        </w:tc>
        <w:tc>
          <w:tcPr>
            <w:tcW w:w="624" w:type="dxa"/>
          </w:tcPr>
          <w:p w14:paraId="6F0DBE7F" w14:textId="77777777" w:rsidR="00027DEB" w:rsidRDefault="00027DEB" w:rsidP="00C57C6F">
            <w:pPr>
              <w:pStyle w:val="TableText"/>
            </w:pPr>
          </w:p>
        </w:tc>
        <w:tc>
          <w:tcPr>
            <w:tcW w:w="4025" w:type="dxa"/>
            <w:gridSpan w:val="2"/>
          </w:tcPr>
          <w:p w14:paraId="7D5204AB" w14:textId="77777777" w:rsidR="00027DEB" w:rsidRDefault="00027DEB" w:rsidP="00C57C6F">
            <w:pPr>
              <w:pStyle w:val="TableBlock"/>
            </w:pPr>
            <w:r>
              <w:rPr>
                <w:rFonts w:hint="cs"/>
                <w:rtl/>
              </w:rPr>
              <w:t>(1)</w:t>
            </w:r>
            <w:r>
              <w:rPr>
                <w:rtl/>
              </w:rPr>
              <w:tab/>
            </w:r>
            <w:r w:rsidRPr="003C16D3">
              <w:rPr>
                <w:rtl/>
              </w:rPr>
              <w:t>מוצר טבק</w:t>
            </w:r>
            <w:r w:rsidRPr="003C16D3">
              <w:rPr>
                <w:rFonts w:hint="cs"/>
                <w:rtl/>
              </w:rPr>
              <w:t xml:space="preserve"> שמשמש לעישון</w:t>
            </w:r>
            <w:r w:rsidRPr="003C16D3">
              <w:rPr>
                <w:rtl/>
              </w:rPr>
              <w:t>;</w:t>
            </w:r>
          </w:p>
        </w:tc>
      </w:tr>
      <w:tr w:rsidR="00027DEB" w14:paraId="31711346" w14:textId="77777777" w:rsidTr="00C57C6F">
        <w:trPr>
          <w:cantSplit/>
          <w:trHeight w:val="60"/>
        </w:trPr>
        <w:tc>
          <w:tcPr>
            <w:tcW w:w="1869" w:type="dxa"/>
          </w:tcPr>
          <w:p w14:paraId="244B6E1B" w14:textId="77777777" w:rsidR="00027DEB" w:rsidRDefault="00027DEB" w:rsidP="00C57C6F">
            <w:pPr>
              <w:pStyle w:val="TableSideHeading"/>
            </w:pPr>
          </w:p>
        </w:tc>
        <w:tc>
          <w:tcPr>
            <w:tcW w:w="624" w:type="dxa"/>
          </w:tcPr>
          <w:p w14:paraId="7CCBC4CB" w14:textId="77777777" w:rsidR="00027DEB" w:rsidRDefault="00027DEB" w:rsidP="00C57C6F">
            <w:pPr>
              <w:pStyle w:val="TableText"/>
            </w:pPr>
          </w:p>
        </w:tc>
        <w:tc>
          <w:tcPr>
            <w:tcW w:w="624" w:type="dxa"/>
          </w:tcPr>
          <w:p w14:paraId="3049886C" w14:textId="77777777" w:rsidR="00027DEB" w:rsidRDefault="00027DEB" w:rsidP="00C57C6F">
            <w:pPr>
              <w:pStyle w:val="TableText"/>
            </w:pPr>
          </w:p>
        </w:tc>
        <w:tc>
          <w:tcPr>
            <w:tcW w:w="624" w:type="dxa"/>
          </w:tcPr>
          <w:p w14:paraId="100367A3" w14:textId="77777777" w:rsidR="00027DEB" w:rsidRDefault="00027DEB" w:rsidP="00C57C6F">
            <w:pPr>
              <w:pStyle w:val="TableText"/>
            </w:pPr>
          </w:p>
        </w:tc>
        <w:tc>
          <w:tcPr>
            <w:tcW w:w="624" w:type="dxa"/>
          </w:tcPr>
          <w:p w14:paraId="6DAB87DE" w14:textId="77777777" w:rsidR="00027DEB" w:rsidRDefault="00027DEB" w:rsidP="00C57C6F">
            <w:pPr>
              <w:pStyle w:val="TableText"/>
            </w:pPr>
          </w:p>
        </w:tc>
        <w:tc>
          <w:tcPr>
            <w:tcW w:w="624" w:type="dxa"/>
          </w:tcPr>
          <w:p w14:paraId="68883D91" w14:textId="77777777" w:rsidR="00027DEB" w:rsidRDefault="00027DEB" w:rsidP="00C57C6F">
            <w:pPr>
              <w:pStyle w:val="TableText"/>
            </w:pPr>
          </w:p>
        </w:tc>
        <w:tc>
          <w:tcPr>
            <w:tcW w:w="624" w:type="dxa"/>
          </w:tcPr>
          <w:p w14:paraId="4DAECF7F" w14:textId="77777777" w:rsidR="00027DEB" w:rsidRDefault="00027DEB" w:rsidP="00C57C6F">
            <w:pPr>
              <w:pStyle w:val="TableText"/>
            </w:pPr>
          </w:p>
        </w:tc>
        <w:tc>
          <w:tcPr>
            <w:tcW w:w="4025" w:type="dxa"/>
            <w:gridSpan w:val="2"/>
          </w:tcPr>
          <w:p w14:paraId="465B2396" w14:textId="051424BA" w:rsidR="00027DEB" w:rsidRDefault="00027DEB" w:rsidP="00C57C6F">
            <w:pPr>
              <w:pStyle w:val="TableBlock"/>
            </w:pPr>
            <w:r>
              <w:rPr>
                <w:rFonts w:hint="cs"/>
                <w:rtl/>
              </w:rPr>
              <w:t>(2)</w:t>
            </w:r>
            <w:r>
              <w:rPr>
                <w:rtl/>
              </w:rPr>
              <w:tab/>
            </w:r>
            <w:r w:rsidRPr="003C16D3">
              <w:rPr>
                <w:rtl/>
              </w:rPr>
              <w:t xml:space="preserve">חומר ממקור צמחי </w:t>
            </w:r>
            <w:r w:rsidRPr="003C16D3">
              <w:rPr>
                <w:rFonts w:hint="cs"/>
                <w:rtl/>
              </w:rPr>
              <w:t xml:space="preserve">כלשהו </w:t>
            </w:r>
            <w:r w:rsidRPr="003C16D3">
              <w:rPr>
                <w:rtl/>
              </w:rPr>
              <w:t>ה</w:t>
            </w:r>
            <w:r w:rsidRPr="003C16D3">
              <w:rPr>
                <w:rFonts w:hint="cs"/>
                <w:rtl/>
              </w:rPr>
              <w:t>משמש</w:t>
            </w:r>
            <w:r w:rsidR="00C57C6F">
              <w:rPr>
                <w:rtl/>
              </w:rPr>
              <w:t xml:space="preserve"> לעישון ו</w:t>
            </w:r>
            <w:r w:rsidRPr="003C16D3">
              <w:rPr>
                <w:rtl/>
              </w:rPr>
              <w:t>אינו מכיל טבק, לרבות תערובת, תרכובת או תמיסה של חומר כאמור</w:t>
            </w:r>
            <w:r w:rsidRPr="003C16D3">
              <w:rPr>
                <w:rFonts w:hint="cs"/>
                <w:rtl/>
              </w:rPr>
              <w:t>;</w:t>
            </w:r>
          </w:p>
        </w:tc>
      </w:tr>
      <w:tr w:rsidR="00027DEB" w14:paraId="337ABF51" w14:textId="77777777" w:rsidTr="00C57C6F">
        <w:trPr>
          <w:cantSplit/>
          <w:trHeight w:val="60"/>
        </w:trPr>
        <w:tc>
          <w:tcPr>
            <w:tcW w:w="1869" w:type="dxa"/>
          </w:tcPr>
          <w:p w14:paraId="59FD3FD7" w14:textId="77777777" w:rsidR="00027DEB" w:rsidRDefault="00027DEB" w:rsidP="00C57C6F">
            <w:pPr>
              <w:pStyle w:val="TableSideHeading"/>
            </w:pPr>
          </w:p>
        </w:tc>
        <w:tc>
          <w:tcPr>
            <w:tcW w:w="624" w:type="dxa"/>
          </w:tcPr>
          <w:p w14:paraId="63870C05" w14:textId="77777777" w:rsidR="00027DEB" w:rsidRDefault="00027DEB" w:rsidP="00C57C6F">
            <w:pPr>
              <w:pStyle w:val="TableText"/>
            </w:pPr>
          </w:p>
        </w:tc>
        <w:tc>
          <w:tcPr>
            <w:tcW w:w="624" w:type="dxa"/>
          </w:tcPr>
          <w:p w14:paraId="4EE511C1" w14:textId="77777777" w:rsidR="00027DEB" w:rsidRDefault="00027DEB" w:rsidP="00C57C6F">
            <w:pPr>
              <w:pStyle w:val="TableText"/>
            </w:pPr>
          </w:p>
        </w:tc>
        <w:tc>
          <w:tcPr>
            <w:tcW w:w="624" w:type="dxa"/>
          </w:tcPr>
          <w:p w14:paraId="44E6EF35" w14:textId="77777777" w:rsidR="00027DEB" w:rsidRDefault="00027DEB" w:rsidP="00C57C6F">
            <w:pPr>
              <w:pStyle w:val="TableText"/>
            </w:pPr>
          </w:p>
        </w:tc>
        <w:tc>
          <w:tcPr>
            <w:tcW w:w="624" w:type="dxa"/>
          </w:tcPr>
          <w:p w14:paraId="6A7392C7" w14:textId="77777777" w:rsidR="00027DEB" w:rsidRDefault="00027DEB" w:rsidP="00C57C6F">
            <w:pPr>
              <w:pStyle w:val="TableText"/>
            </w:pPr>
          </w:p>
        </w:tc>
        <w:tc>
          <w:tcPr>
            <w:tcW w:w="624" w:type="dxa"/>
          </w:tcPr>
          <w:p w14:paraId="6ED2C3EB" w14:textId="77777777" w:rsidR="00027DEB" w:rsidRDefault="00027DEB" w:rsidP="00C57C6F">
            <w:pPr>
              <w:pStyle w:val="TableText"/>
            </w:pPr>
          </w:p>
        </w:tc>
        <w:tc>
          <w:tcPr>
            <w:tcW w:w="624" w:type="dxa"/>
          </w:tcPr>
          <w:p w14:paraId="26B2F03B" w14:textId="77777777" w:rsidR="00027DEB" w:rsidRDefault="00027DEB" w:rsidP="00C57C6F">
            <w:pPr>
              <w:pStyle w:val="TableText"/>
            </w:pPr>
          </w:p>
        </w:tc>
        <w:tc>
          <w:tcPr>
            <w:tcW w:w="4025" w:type="dxa"/>
            <w:gridSpan w:val="2"/>
          </w:tcPr>
          <w:p w14:paraId="39B6C39A" w14:textId="77777777" w:rsidR="00027DEB" w:rsidRDefault="00027DEB" w:rsidP="00C57C6F">
            <w:pPr>
              <w:pStyle w:val="TableBlock"/>
            </w:pPr>
            <w:r>
              <w:rPr>
                <w:rFonts w:hint="cs"/>
                <w:rtl/>
              </w:rPr>
              <w:t>(3)</w:t>
            </w:r>
            <w:r>
              <w:rPr>
                <w:rtl/>
              </w:rPr>
              <w:tab/>
            </w:r>
            <w:r w:rsidRPr="003C16D3">
              <w:rPr>
                <w:rtl/>
              </w:rPr>
              <w:t xml:space="preserve">מוצר המשמש לעישון טבק, או מוצר </w:t>
            </w:r>
            <w:r>
              <w:rPr>
                <w:rtl/>
              </w:rPr>
              <w:t xml:space="preserve">המשמש לעישון חומר </w:t>
            </w:r>
            <w:r>
              <w:rPr>
                <w:rFonts w:hint="cs"/>
                <w:rtl/>
              </w:rPr>
              <w:t xml:space="preserve">ממקור </w:t>
            </w:r>
            <w:r>
              <w:rPr>
                <w:rtl/>
              </w:rPr>
              <w:t>צמחי כאמור בפ</w:t>
            </w:r>
            <w:r w:rsidRPr="003C16D3">
              <w:rPr>
                <w:rtl/>
              </w:rPr>
              <w:t xml:space="preserve">סקה (2), ובכלל זה סיגריות, סיגרים, </w:t>
            </w:r>
            <w:proofErr w:type="spellStart"/>
            <w:r w:rsidRPr="003C16D3">
              <w:rPr>
                <w:rtl/>
              </w:rPr>
              <w:t>סיגרלות</w:t>
            </w:r>
            <w:proofErr w:type="spellEnd"/>
            <w:r w:rsidRPr="003C16D3">
              <w:rPr>
                <w:rtl/>
              </w:rPr>
              <w:t>, נרגילה, מקטרת ונייר לגלגול סיגריות;</w:t>
            </w:r>
          </w:p>
        </w:tc>
      </w:tr>
      <w:tr w:rsidR="00027DEB" w14:paraId="592B730E" w14:textId="77777777" w:rsidTr="00C57C6F">
        <w:trPr>
          <w:cantSplit/>
          <w:trHeight w:val="60"/>
        </w:trPr>
        <w:tc>
          <w:tcPr>
            <w:tcW w:w="1869" w:type="dxa"/>
          </w:tcPr>
          <w:p w14:paraId="070A4E23" w14:textId="77777777" w:rsidR="00027DEB" w:rsidRDefault="00027DEB" w:rsidP="00C57C6F">
            <w:pPr>
              <w:pStyle w:val="TableSideHeading"/>
            </w:pPr>
          </w:p>
        </w:tc>
        <w:tc>
          <w:tcPr>
            <w:tcW w:w="624" w:type="dxa"/>
          </w:tcPr>
          <w:p w14:paraId="316441AC" w14:textId="77777777" w:rsidR="00027DEB" w:rsidRDefault="00027DEB" w:rsidP="00C57C6F">
            <w:pPr>
              <w:pStyle w:val="TableText"/>
            </w:pPr>
          </w:p>
        </w:tc>
        <w:tc>
          <w:tcPr>
            <w:tcW w:w="624" w:type="dxa"/>
          </w:tcPr>
          <w:p w14:paraId="6E383CB9" w14:textId="77777777" w:rsidR="00027DEB" w:rsidRDefault="00027DEB" w:rsidP="00C57C6F">
            <w:pPr>
              <w:pStyle w:val="TableText"/>
            </w:pPr>
          </w:p>
        </w:tc>
        <w:tc>
          <w:tcPr>
            <w:tcW w:w="624" w:type="dxa"/>
          </w:tcPr>
          <w:p w14:paraId="7E7E6BDB" w14:textId="77777777" w:rsidR="00027DEB" w:rsidRDefault="00027DEB" w:rsidP="00C57C6F">
            <w:pPr>
              <w:pStyle w:val="TableText"/>
            </w:pPr>
          </w:p>
        </w:tc>
        <w:tc>
          <w:tcPr>
            <w:tcW w:w="624" w:type="dxa"/>
          </w:tcPr>
          <w:p w14:paraId="52FCAB11" w14:textId="77777777" w:rsidR="00027DEB" w:rsidRDefault="00027DEB" w:rsidP="00C57C6F">
            <w:pPr>
              <w:pStyle w:val="TableText"/>
            </w:pPr>
          </w:p>
        </w:tc>
        <w:tc>
          <w:tcPr>
            <w:tcW w:w="624" w:type="dxa"/>
          </w:tcPr>
          <w:p w14:paraId="423B846A" w14:textId="77777777" w:rsidR="00027DEB" w:rsidRDefault="00027DEB" w:rsidP="00C57C6F">
            <w:pPr>
              <w:pStyle w:val="TableText"/>
            </w:pPr>
          </w:p>
        </w:tc>
        <w:tc>
          <w:tcPr>
            <w:tcW w:w="624" w:type="dxa"/>
          </w:tcPr>
          <w:p w14:paraId="0053BD2A" w14:textId="77777777" w:rsidR="00027DEB" w:rsidRDefault="00027DEB" w:rsidP="00C57C6F">
            <w:pPr>
              <w:pStyle w:val="TableText"/>
            </w:pPr>
          </w:p>
        </w:tc>
        <w:tc>
          <w:tcPr>
            <w:tcW w:w="4025" w:type="dxa"/>
            <w:gridSpan w:val="2"/>
          </w:tcPr>
          <w:p w14:paraId="278CA1E4" w14:textId="677EF8C3" w:rsidR="00027DEB" w:rsidRDefault="00027DEB" w:rsidP="00C57C6F">
            <w:pPr>
              <w:pStyle w:val="TableBlock"/>
            </w:pPr>
            <w:r>
              <w:rPr>
                <w:rFonts w:hint="cs"/>
                <w:rtl/>
              </w:rPr>
              <w:t>(4)</w:t>
            </w:r>
            <w:r>
              <w:rPr>
                <w:rtl/>
              </w:rPr>
              <w:tab/>
            </w:r>
            <w:r w:rsidRPr="0046280E">
              <w:rPr>
                <w:rtl/>
              </w:rPr>
              <w:t>סיגריה אלקטרונית</w:t>
            </w:r>
            <w:r w:rsidRPr="003C16D3">
              <w:rPr>
                <w:rtl/>
              </w:rPr>
              <w:t>, חומר מילוי ומחסנית; לעניין זה</w:t>
            </w:r>
            <w:r w:rsidR="00C57C6F">
              <w:rPr>
                <w:rFonts w:hint="cs"/>
                <w:rtl/>
              </w:rPr>
              <w:t xml:space="preserve"> - </w:t>
            </w:r>
            <w:r w:rsidRPr="003C16D3">
              <w:rPr>
                <w:rtl/>
              </w:rPr>
              <w:t xml:space="preserve"> </w:t>
            </w:r>
          </w:p>
        </w:tc>
      </w:tr>
      <w:tr w:rsidR="00C57C6F" w14:paraId="68B0DC59" w14:textId="77777777" w:rsidTr="00E0235C">
        <w:trPr>
          <w:cantSplit/>
          <w:trHeight w:val="60"/>
        </w:trPr>
        <w:tc>
          <w:tcPr>
            <w:tcW w:w="1869" w:type="dxa"/>
          </w:tcPr>
          <w:p w14:paraId="34531C6E" w14:textId="77777777" w:rsidR="00C57C6F" w:rsidRDefault="00C57C6F">
            <w:pPr>
              <w:pStyle w:val="TableSideHeading"/>
            </w:pPr>
          </w:p>
        </w:tc>
        <w:tc>
          <w:tcPr>
            <w:tcW w:w="624" w:type="dxa"/>
          </w:tcPr>
          <w:p w14:paraId="737685B2" w14:textId="77777777" w:rsidR="00C57C6F" w:rsidRDefault="00C57C6F">
            <w:pPr>
              <w:pStyle w:val="TableText"/>
            </w:pPr>
          </w:p>
        </w:tc>
        <w:tc>
          <w:tcPr>
            <w:tcW w:w="624" w:type="dxa"/>
          </w:tcPr>
          <w:p w14:paraId="24F3E06C" w14:textId="77777777" w:rsidR="00C57C6F" w:rsidRDefault="00C57C6F">
            <w:pPr>
              <w:pStyle w:val="TableText"/>
            </w:pPr>
          </w:p>
        </w:tc>
        <w:tc>
          <w:tcPr>
            <w:tcW w:w="624" w:type="dxa"/>
          </w:tcPr>
          <w:p w14:paraId="3AF5524C" w14:textId="77777777" w:rsidR="00C57C6F" w:rsidRDefault="00C57C6F">
            <w:pPr>
              <w:pStyle w:val="TableText"/>
            </w:pPr>
          </w:p>
        </w:tc>
        <w:tc>
          <w:tcPr>
            <w:tcW w:w="624" w:type="dxa"/>
          </w:tcPr>
          <w:p w14:paraId="7062F6E3" w14:textId="77777777" w:rsidR="00C57C6F" w:rsidRDefault="00C57C6F">
            <w:pPr>
              <w:pStyle w:val="TableText"/>
            </w:pPr>
          </w:p>
        </w:tc>
        <w:tc>
          <w:tcPr>
            <w:tcW w:w="624" w:type="dxa"/>
          </w:tcPr>
          <w:p w14:paraId="1FA65508" w14:textId="77777777" w:rsidR="00C57C6F" w:rsidRDefault="00C57C6F">
            <w:pPr>
              <w:pStyle w:val="TableText"/>
            </w:pPr>
          </w:p>
        </w:tc>
        <w:tc>
          <w:tcPr>
            <w:tcW w:w="624" w:type="dxa"/>
          </w:tcPr>
          <w:p w14:paraId="4B18E368" w14:textId="77777777" w:rsidR="00C57C6F" w:rsidRDefault="00C57C6F">
            <w:pPr>
              <w:pStyle w:val="TableText"/>
            </w:pPr>
          </w:p>
        </w:tc>
        <w:tc>
          <w:tcPr>
            <w:tcW w:w="624" w:type="dxa"/>
          </w:tcPr>
          <w:p w14:paraId="14D8DBE9" w14:textId="77777777" w:rsidR="00C57C6F" w:rsidRDefault="00C57C6F">
            <w:pPr>
              <w:pStyle w:val="TableText"/>
            </w:pPr>
          </w:p>
        </w:tc>
        <w:tc>
          <w:tcPr>
            <w:tcW w:w="3401" w:type="dxa"/>
          </w:tcPr>
          <w:p w14:paraId="5E7925ED" w14:textId="01B31961" w:rsidR="00C57C6F" w:rsidRPr="00C57C6F" w:rsidRDefault="00C57C6F" w:rsidP="00C57C6F">
            <w:pPr>
              <w:pStyle w:val="TableBlockOutdent"/>
            </w:pPr>
            <w:r w:rsidRPr="00C57C6F">
              <w:rPr>
                <w:rtl/>
              </w:rPr>
              <w:t>"חומר מילוי" – נוזל או חומר בצורה אחרת, לשימוש בסיגריה אלקטרונית;</w:t>
            </w:r>
          </w:p>
        </w:tc>
      </w:tr>
      <w:tr w:rsidR="00C57C6F" w14:paraId="28851FBE" w14:textId="77777777" w:rsidTr="00E0235C">
        <w:trPr>
          <w:cantSplit/>
          <w:trHeight w:val="60"/>
        </w:trPr>
        <w:tc>
          <w:tcPr>
            <w:tcW w:w="1869" w:type="dxa"/>
          </w:tcPr>
          <w:p w14:paraId="78FD3772" w14:textId="77777777" w:rsidR="00C57C6F" w:rsidRDefault="00C57C6F">
            <w:pPr>
              <w:pStyle w:val="TableSideHeading"/>
            </w:pPr>
          </w:p>
        </w:tc>
        <w:tc>
          <w:tcPr>
            <w:tcW w:w="624" w:type="dxa"/>
          </w:tcPr>
          <w:p w14:paraId="254507B4" w14:textId="77777777" w:rsidR="00C57C6F" w:rsidRDefault="00C57C6F" w:rsidP="00C57C6F">
            <w:pPr>
              <w:pStyle w:val="TableText"/>
            </w:pPr>
          </w:p>
        </w:tc>
        <w:tc>
          <w:tcPr>
            <w:tcW w:w="624" w:type="dxa"/>
          </w:tcPr>
          <w:p w14:paraId="64453E75" w14:textId="77777777" w:rsidR="00C57C6F" w:rsidRDefault="00C57C6F">
            <w:pPr>
              <w:pStyle w:val="TableText"/>
            </w:pPr>
          </w:p>
        </w:tc>
        <w:tc>
          <w:tcPr>
            <w:tcW w:w="624" w:type="dxa"/>
          </w:tcPr>
          <w:p w14:paraId="4F7A05F0" w14:textId="77777777" w:rsidR="00C57C6F" w:rsidRDefault="00C57C6F">
            <w:pPr>
              <w:pStyle w:val="TableText"/>
            </w:pPr>
          </w:p>
        </w:tc>
        <w:tc>
          <w:tcPr>
            <w:tcW w:w="624" w:type="dxa"/>
          </w:tcPr>
          <w:p w14:paraId="1742B68F" w14:textId="77777777" w:rsidR="00C57C6F" w:rsidRDefault="00C57C6F">
            <w:pPr>
              <w:pStyle w:val="TableText"/>
            </w:pPr>
          </w:p>
        </w:tc>
        <w:tc>
          <w:tcPr>
            <w:tcW w:w="624" w:type="dxa"/>
          </w:tcPr>
          <w:p w14:paraId="756254C7" w14:textId="77777777" w:rsidR="00C57C6F" w:rsidRDefault="00C57C6F">
            <w:pPr>
              <w:pStyle w:val="TableText"/>
            </w:pPr>
          </w:p>
        </w:tc>
        <w:tc>
          <w:tcPr>
            <w:tcW w:w="624" w:type="dxa"/>
          </w:tcPr>
          <w:p w14:paraId="585B4569" w14:textId="77777777" w:rsidR="00C57C6F" w:rsidRDefault="00C57C6F">
            <w:pPr>
              <w:pStyle w:val="TableText"/>
            </w:pPr>
          </w:p>
        </w:tc>
        <w:tc>
          <w:tcPr>
            <w:tcW w:w="624" w:type="dxa"/>
          </w:tcPr>
          <w:p w14:paraId="4082B55F" w14:textId="77777777" w:rsidR="00C57C6F" w:rsidRDefault="00C57C6F">
            <w:pPr>
              <w:pStyle w:val="TableText"/>
            </w:pPr>
          </w:p>
        </w:tc>
        <w:tc>
          <w:tcPr>
            <w:tcW w:w="3401" w:type="dxa"/>
          </w:tcPr>
          <w:p w14:paraId="7174CA63" w14:textId="5A6B330C" w:rsidR="00C57C6F" w:rsidRPr="00C57C6F" w:rsidRDefault="00C57C6F" w:rsidP="00C57C6F">
            <w:pPr>
              <w:pStyle w:val="TableBlockOutdent"/>
            </w:pPr>
            <w:r w:rsidRPr="00C57C6F">
              <w:rPr>
                <w:rtl/>
              </w:rPr>
              <w:t>"מחסנית" – אבזר המורכב על גבי סיגריה אלקטרונית, המכיל חומר מילוי</w:t>
            </w:r>
            <w:r w:rsidRPr="00C57C6F">
              <w:rPr>
                <w:rFonts w:hint="cs"/>
                <w:rtl/>
              </w:rPr>
              <w:t>;</w:t>
            </w:r>
          </w:p>
        </w:tc>
      </w:tr>
      <w:tr w:rsidR="00C57C6F" w14:paraId="291387FE" w14:textId="77777777" w:rsidTr="00E0235C">
        <w:trPr>
          <w:cantSplit/>
          <w:trHeight w:val="21"/>
        </w:trPr>
        <w:tc>
          <w:tcPr>
            <w:tcW w:w="1869" w:type="dxa"/>
          </w:tcPr>
          <w:p w14:paraId="3E9899F2" w14:textId="77777777" w:rsidR="00C57C6F" w:rsidRDefault="00C57C6F">
            <w:pPr>
              <w:pStyle w:val="TableSideHeading"/>
            </w:pPr>
          </w:p>
        </w:tc>
        <w:tc>
          <w:tcPr>
            <w:tcW w:w="624" w:type="dxa"/>
          </w:tcPr>
          <w:p w14:paraId="7F56BE23" w14:textId="77777777" w:rsidR="00C57C6F" w:rsidRDefault="00C57C6F" w:rsidP="00C57C6F">
            <w:pPr>
              <w:pStyle w:val="TableText"/>
            </w:pPr>
          </w:p>
        </w:tc>
        <w:tc>
          <w:tcPr>
            <w:tcW w:w="624" w:type="dxa"/>
          </w:tcPr>
          <w:p w14:paraId="3DC95421" w14:textId="77777777" w:rsidR="00C57C6F" w:rsidRDefault="00C57C6F">
            <w:pPr>
              <w:pStyle w:val="TableText"/>
            </w:pPr>
          </w:p>
        </w:tc>
        <w:tc>
          <w:tcPr>
            <w:tcW w:w="624" w:type="dxa"/>
          </w:tcPr>
          <w:p w14:paraId="6FAD42F0" w14:textId="77777777" w:rsidR="00C57C6F" w:rsidRDefault="00C57C6F">
            <w:pPr>
              <w:pStyle w:val="TableText"/>
            </w:pPr>
          </w:p>
        </w:tc>
        <w:tc>
          <w:tcPr>
            <w:tcW w:w="624" w:type="dxa"/>
          </w:tcPr>
          <w:p w14:paraId="64EDDFEE" w14:textId="77777777" w:rsidR="00C57C6F" w:rsidRDefault="00C57C6F">
            <w:pPr>
              <w:pStyle w:val="TableText"/>
            </w:pPr>
          </w:p>
        </w:tc>
        <w:tc>
          <w:tcPr>
            <w:tcW w:w="624" w:type="dxa"/>
          </w:tcPr>
          <w:p w14:paraId="14B49949" w14:textId="77777777" w:rsidR="00C57C6F" w:rsidRDefault="00C57C6F">
            <w:pPr>
              <w:pStyle w:val="TableText"/>
            </w:pPr>
          </w:p>
        </w:tc>
        <w:tc>
          <w:tcPr>
            <w:tcW w:w="624" w:type="dxa"/>
          </w:tcPr>
          <w:p w14:paraId="6F69479B" w14:textId="77777777" w:rsidR="00C57C6F" w:rsidRDefault="00C57C6F">
            <w:pPr>
              <w:pStyle w:val="TableText"/>
            </w:pPr>
          </w:p>
        </w:tc>
        <w:tc>
          <w:tcPr>
            <w:tcW w:w="624" w:type="dxa"/>
          </w:tcPr>
          <w:p w14:paraId="34ECE717" w14:textId="77777777" w:rsidR="00C57C6F" w:rsidRDefault="00C57C6F">
            <w:pPr>
              <w:pStyle w:val="TableText"/>
            </w:pPr>
          </w:p>
        </w:tc>
        <w:tc>
          <w:tcPr>
            <w:tcW w:w="3401" w:type="dxa"/>
          </w:tcPr>
          <w:p w14:paraId="7F6A38D7" w14:textId="7DD641E1" w:rsidR="00C57C6F" w:rsidRPr="00C57C6F" w:rsidRDefault="00C57C6F" w:rsidP="00C57C6F">
            <w:pPr>
              <w:pStyle w:val="TableBlockOutdent"/>
            </w:pPr>
            <w:r w:rsidRPr="00C57C6F">
              <w:rPr>
                <w:rtl/>
              </w:rPr>
              <w:t>"סיגריה אלקטרונית" – מוצר הדומה לסיגריה, לסיגר, למקטרת או לנרגילה, המופעל באמצעי אלקטרוני והמ</w:t>
            </w:r>
            <w:r w:rsidRPr="00C57C6F">
              <w:rPr>
                <w:rFonts w:hint="cs"/>
                <w:rtl/>
              </w:rPr>
              <w:t>שמש</w:t>
            </w:r>
            <w:r w:rsidRPr="00C57C6F">
              <w:rPr>
                <w:rtl/>
              </w:rPr>
              <w:t xml:space="preserve"> ל</w:t>
            </w:r>
            <w:r w:rsidRPr="00C57C6F">
              <w:rPr>
                <w:rFonts w:hint="cs"/>
                <w:rtl/>
              </w:rPr>
              <w:t>עישון או לשאיפת אדים</w:t>
            </w:r>
            <w:r w:rsidRPr="00C57C6F">
              <w:rPr>
                <w:rtl/>
              </w:rPr>
              <w:t>, לרבות מוצר המותאם להרכבת מחסנית עליו, יהא כינויו אשר יה</w:t>
            </w:r>
            <w:r w:rsidRPr="00C57C6F">
              <w:rPr>
                <w:rFonts w:hint="cs"/>
                <w:rtl/>
              </w:rPr>
              <w:t>א</w:t>
            </w:r>
            <w:r w:rsidRPr="00C57C6F">
              <w:rPr>
                <w:rtl/>
              </w:rPr>
              <w:t xml:space="preserve">;  </w:t>
            </w:r>
          </w:p>
        </w:tc>
      </w:tr>
      <w:tr w:rsidR="00027DEB" w14:paraId="3D542F55" w14:textId="77777777" w:rsidTr="00C57C6F">
        <w:trPr>
          <w:cantSplit/>
          <w:trHeight w:val="60"/>
        </w:trPr>
        <w:tc>
          <w:tcPr>
            <w:tcW w:w="1869" w:type="dxa"/>
          </w:tcPr>
          <w:p w14:paraId="72E9D665" w14:textId="77777777" w:rsidR="00027DEB" w:rsidRDefault="00027DEB" w:rsidP="00C57C6F">
            <w:pPr>
              <w:pStyle w:val="TableSideHeading"/>
              <w:rPr>
                <w:rtl/>
              </w:rPr>
            </w:pPr>
          </w:p>
        </w:tc>
        <w:tc>
          <w:tcPr>
            <w:tcW w:w="624" w:type="dxa"/>
          </w:tcPr>
          <w:p w14:paraId="0FD2D9A1" w14:textId="77777777" w:rsidR="00027DEB" w:rsidRDefault="00027DEB" w:rsidP="00C57C6F">
            <w:pPr>
              <w:pStyle w:val="TableText"/>
            </w:pPr>
          </w:p>
        </w:tc>
        <w:tc>
          <w:tcPr>
            <w:tcW w:w="624" w:type="dxa"/>
          </w:tcPr>
          <w:p w14:paraId="26F3AF8F" w14:textId="77777777" w:rsidR="00027DEB" w:rsidRDefault="00027DEB" w:rsidP="00C57C6F">
            <w:pPr>
              <w:pStyle w:val="TableText"/>
            </w:pPr>
          </w:p>
        </w:tc>
        <w:tc>
          <w:tcPr>
            <w:tcW w:w="624" w:type="dxa"/>
          </w:tcPr>
          <w:p w14:paraId="6DA2D205" w14:textId="77777777" w:rsidR="00027DEB" w:rsidRDefault="00027DEB" w:rsidP="00C57C6F">
            <w:pPr>
              <w:pStyle w:val="TableText"/>
            </w:pPr>
          </w:p>
        </w:tc>
        <w:tc>
          <w:tcPr>
            <w:tcW w:w="624" w:type="dxa"/>
          </w:tcPr>
          <w:p w14:paraId="1A5FF830" w14:textId="77777777" w:rsidR="00027DEB" w:rsidRDefault="00027DEB" w:rsidP="00C57C6F">
            <w:pPr>
              <w:pStyle w:val="TableText"/>
            </w:pPr>
          </w:p>
        </w:tc>
        <w:tc>
          <w:tcPr>
            <w:tcW w:w="624" w:type="dxa"/>
          </w:tcPr>
          <w:p w14:paraId="6EC11257" w14:textId="77777777" w:rsidR="00027DEB" w:rsidRDefault="00027DEB" w:rsidP="00C57C6F">
            <w:pPr>
              <w:pStyle w:val="TableText"/>
            </w:pPr>
          </w:p>
        </w:tc>
        <w:tc>
          <w:tcPr>
            <w:tcW w:w="4649" w:type="dxa"/>
            <w:gridSpan w:val="3"/>
          </w:tcPr>
          <w:p w14:paraId="7FE989B0" w14:textId="77777777" w:rsidR="00027DEB" w:rsidRPr="00D15F09" w:rsidRDefault="00027DEB" w:rsidP="00C57C6F">
            <w:pPr>
              <w:pStyle w:val="TableBlockOutdent"/>
              <w:rPr>
                <w:rtl/>
              </w:rPr>
            </w:pPr>
            <w:r w:rsidRPr="000E157B">
              <w:rPr>
                <w:rFonts w:hint="cs"/>
                <w:rtl/>
              </w:rPr>
              <w:t xml:space="preserve">"מחזיק של מקום ציבורי" </w:t>
            </w:r>
            <w:r w:rsidRPr="000E157B">
              <w:rPr>
                <w:rtl/>
              </w:rPr>
              <w:t>–</w:t>
            </w:r>
            <w:r w:rsidRPr="000E157B">
              <w:rPr>
                <w:rFonts w:hint="cs"/>
                <w:rtl/>
              </w:rPr>
              <w:t xml:space="preserve"> מי שאחראי לניהול המקום הציבורי במישרין או בעקיפין, כבעלים, כשוכר או בדרך אחרת, לרבות תאגיד שהוא בעל שליטה בתאגיד שהוא מחזיק של מקום ציבורי ולרבות חברה שנתנה זיכיון לאדם להחזיק במקום ציבורי;</w:t>
            </w:r>
          </w:p>
        </w:tc>
      </w:tr>
      <w:tr w:rsidR="00027DEB" w14:paraId="013A417F" w14:textId="77777777" w:rsidTr="00C57C6F">
        <w:trPr>
          <w:cantSplit/>
          <w:trHeight w:val="60"/>
        </w:trPr>
        <w:tc>
          <w:tcPr>
            <w:tcW w:w="1869" w:type="dxa"/>
          </w:tcPr>
          <w:p w14:paraId="61A8963C" w14:textId="77777777" w:rsidR="00027DEB" w:rsidRDefault="00027DEB" w:rsidP="00C57C6F">
            <w:pPr>
              <w:pStyle w:val="TableSideHeading"/>
              <w:rPr>
                <w:rtl/>
              </w:rPr>
            </w:pPr>
          </w:p>
        </w:tc>
        <w:tc>
          <w:tcPr>
            <w:tcW w:w="624" w:type="dxa"/>
          </w:tcPr>
          <w:p w14:paraId="1B986B25" w14:textId="77777777" w:rsidR="00027DEB" w:rsidRDefault="00027DEB" w:rsidP="00C57C6F">
            <w:pPr>
              <w:pStyle w:val="TableText"/>
            </w:pPr>
          </w:p>
        </w:tc>
        <w:tc>
          <w:tcPr>
            <w:tcW w:w="624" w:type="dxa"/>
          </w:tcPr>
          <w:p w14:paraId="41531AC5" w14:textId="77777777" w:rsidR="00027DEB" w:rsidRDefault="00027DEB" w:rsidP="00C57C6F">
            <w:pPr>
              <w:pStyle w:val="TableText"/>
            </w:pPr>
          </w:p>
        </w:tc>
        <w:tc>
          <w:tcPr>
            <w:tcW w:w="624" w:type="dxa"/>
          </w:tcPr>
          <w:p w14:paraId="2C36D77A" w14:textId="77777777" w:rsidR="00027DEB" w:rsidRDefault="00027DEB" w:rsidP="00C57C6F">
            <w:pPr>
              <w:pStyle w:val="TableText"/>
            </w:pPr>
          </w:p>
        </w:tc>
        <w:tc>
          <w:tcPr>
            <w:tcW w:w="624" w:type="dxa"/>
          </w:tcPr>
          <w:p w14:paraId="4EF529FA" w14:textId="77777777" w:rsidR="00027DEB" w:rsidRDefault="00027DEB" w:rsidP="00C57C6F">
            <w:pPr>
              <w:pStyle w:val="TableText"/>
            </w:pPr>
          </w:p>
        </w:tc>
        <w:tc>
          <w:tcPr>
            <w:tcW w:w="624" w:type="dxa"/>
          </w:tcPr>
          <w:p w14:paraId="2E5840AD" w14:textId="77777777" w:rsidR="00027DEB" w:rsidRDefault="00027DEB" w:rsidP="00C57C6F">
            <w:pPr>
              <w:pStyle w:val="TableText"/>
            </w:pPr>
          </w:p>
        </w:tc>
        <w:tc>
          <w:tcPr>
            <w:tcW w:w="4649" w:type="dxa"/>
            <w:gridSpan w:val="3"/>
          </w:tcPr>
          <w:p w14:paraId="0AB5F30F" w14:textId="77777777" w:rsidR="00027DEB" w:rsidRPr="00D15F09" w:rsidRDefault="00027DEB" w:rsidP="00C57C6F">
            <w:pPr>
              <w:pStyle w:val="TableBlockOutdent"/>
              <w:rPr>
                <w:rtl/>
              </w:rPr>
            </w:pPr>
            <w:r w:rsidRPr="000E157B">
              <w:rPr>
                <w:rFonts w:hint="cs"/>
                <w:rtl/>
              </w:rPr>
              <w:t xml:space="preserve">"מפקח" </w:t>
            </w:r>
            <w:r w:rsidRPr="000E157B">
              <w:rPr>
                <w:rtl/>
              </w:rPr>
              <w:t>–</w:t>
            </w:r>
            <w:r w:rsidRPr="000E157B">
              <w:rPr>
                <w:rFonts w:hint="cs"/>
                <w:rtl/>
              </w:rPr>
              <w:t xml:space="preserve"> מי ש</w:t>
            </w:r>
            <w:r>
              <w:rPr>
                <w:rFonts w:hint="cs"/>
                <w:rtl/>
              </w:rPr>
              <w:t xml:space="preserve">הוסמך </w:t>
            </w:r>
            <w:r w:rsidRPr="000E157B">
              <w:rPr>
                <w:rFonts w:hint="cs"/>
                <w:rtl/>
              </w:rPr>
              <w:t xml:space="preserve">לפי סעיף </w:t>
            </w:r>
            <w:r w:rsidRPr="00325882">
              <w:rPr>
                <w:rFonts w:hint="cs"/>
                <w:rtl/>
              </w:rPr>
              <w:t>6א</w:t>
            </w:r>
            <w:r>
              <w:rPr>
                <w:rFonts w:hint="cs"/>
                <w:rtl/>
              </w:rPr>
              <w:t xml:space="preserve"> או 6ב</w:t>
            </w:r>
            <w:r w:rsidRPr="00325882">
              <w:rPr>
                <w:rtl/>
              </w:rPr>
              <w:t>;</w:t>
            </w:r>
          </w:p>
        </w:tc>
      </w:tr>
      <w:tr w:rsidR="00027DEB" w14:paraId="50215048" w14:textId="77777777" w:rsidTr="00C57C6F">
        <w:trPr>
          <w:cantSplit/>
          <w:trHeight w:val="60"/>
        </w:trPr>
        <w:tc>
          <w:tcPr>
            <w:tcW w:w="1869" w:type="dxa"/>
          </w:tcPr>
          <w:p w14:paraId="32EF5DB5" w14:textId="77777777" w:rsidR="00027DEB" w:rsidRDefault="00027DEB" w:rsidP="00C57C6F">
            <w:pPr>
              <w:pStyle w:val="TableSideHeading"/>
              <w:rPr>
                <w:rtl/>
              </w:rPr>
            </w:pPr>
          </w:p>
        </w:tc>
        <w:tc>
          <w:tcPr>
            <w:tcW w:w="624" w:type="dxa"/>
          </w:tcPr>
          <w:p w14:paraId="23EAC7EB" w14:textId="77777777" w:rsidR="00027DEB" w:rsidRDefault="00027DEB" w:rsidP="00C57C6F">
            <w:pPr>
              <w:pStyle w:val="TableText"/>
            </w:pPr>
          </w:p>
        </w:tc>
        <w:tc>
          <w:tcPr>
            <w:tcW w:w="624" w:type="dxa"/>
          </w:tcPr>
          <w:p w14:paraId="01043537" w14:textId="77777777" w:rsidR="00027DEB" w:rsidRDefault="00027DEB" w:rsidP="00C57C6F">
            <w:pPr>
              <w:pStyle w:val="TableText"/>
            </w:pPr>
          </w:p>
        </w:tc>
        <w:tc>
          <w:tcPr>
            <w:tcW w:w="624" w:type="dxa"/>
          </w:tcPr>
          <w:p w14:paraId="197A289B" w14:textId="77777777" w:rsidR="00027DEB" w:rsidRDefault="00027DEB" w:rsidP="00C57C6F">
            <w:pPr>
              <w:pStyle w:val="TableText"/>
            </w:pPr>
          </w:p>
        </w:tc>
        <w:tc>
          <w:tcPr>
            <w:tcW w:w="624" w:type="dxa"/>
          </w:tcPr>
          <w:p w14:paraId="7E74852E" w14:textId="77777777" w:rsidR="00027DEB" w:rsidRDefault="00027DEB" w:rsidP="00C57C6F">
            <w:pPr>
              <w:pStyle w:val="TableText"/>
            </w:pPr>
          </w:p>
        </w:tc>
        <w:tc>
          <w:tcPr>
            <w:tcW w:w="624" w:type="dxa"/>
          </w:tcPr>
          <w:p w14:paraId="5726329E" w14:textId="77777777" w:rsidR="00027DEB" w:rsidRDefault="00027DEB" w:rsidP="00C57C6F">
            <w:pPr>
              <w:pStyle w:val="TableText"/>
            </w:pPr>
          </w:p>
        </w:tc>
        <w:tc>
          <w:tcPr>
            <w:tcW w:w="4649" w:type="dxa"/>
            <w:gridSpan w:val="3"/>
          </w:tcPr>
          <w:p w14:paraId="6F70A971" w14:textId="188E95F9" w:rsidR="00027DEB" w:rsidRPr="00D15F09" w:rsidRDefault="00027DEB" w:rsidP="00C57C6F">
            <w:pPr>
              <w:pStyle w:val="TableBlockOutdent"/>
              <w:rPr>
                <w:rtl/>
              </w:rPr>
            </w:pPr>
            <w:r w:rsidRPr="000E157B">
              <w:rPr>
                <w:rFonts w:hint="cs"/>
                <w:rtl/>
              </w:rPr>
              <w:t xml:space="preserve">"מקום ציבורי" </w:t>
            </w:r>
            <w:r w:rsidRPr="000E157B">
              <w:rPr>
                <w:rtl/>
              </w:rPr>
              <w:t>–</w:t>
            </w:r>
            <w:r>
              <w:rPr>
                <w:rFonts w:hint="cs"/>
                <w:rtl/>
              </w:rPr>
              <w:t xml:space="preserve"> מקום המפורט בתוספת</w:t>
            </w:r>
            <w:r w:rsidRPr="000E157B">
              <w:rPr>
                <w:rFonts w:hint="cs"/>
                <w:rtl/>
              </w:rPr>
              <w:t xml:space="preserve">, לרבות מרחק של 5 מטרים מכניסות, </w:t>
            </w:r>
            <w:r w:rsidRPr="00D15F09">
              <w:rPr>
                <w:rFonts w:hint="cs"/>
                <w:rtl/>
              </w:rPr>
              <w:t xml:space="preserve">יציאות ופתחי אוורור של המקום, אלא אם </w:t>
            </w:r>
            <w:r w:rsidR="00C57C6F">
              <w:rPr>
                <w:rFonts w:hint="cs"/>
                <w:rtl/>
              </w:rPr>
              <w:t xml:space="preserve">כן </w:t>
            </w:r>
            <w:proofErr w:type="spellStart"/>
            <w:r w:rsidRPr="00D15F09">
              <w:rPr>
                <w:rFonts w:hint="cs"/>
                <w:rtl/>
              </w:rPr>
              <w:t>צויין</w:t>
            </w:r>
            <w:proofErr w:type="spellEnd"/>
            <w:r w:rsidRPr="00D15F09">
              <w:rPr>
                <w:rFonts w:hint="cs"/>
                <w:rtl/>
              </w:rPr>
              <w:t xml:space="preserve"> מרחק אחר בתוספת, ולגבי בניינים </w:t>
            </w:r>
            <w:r w:rsidRPr="00D15F09">
              <w:rPr>
                <w:rtl/>
              </w:rPr>
              <w:t>–</w:t>
            </w:r>
            <w:r w:rsidRPr="00D15F09">
              <w:rPr>
                <w:rFonts w:hint="cs"/>
                <w:rtl/>
              </w:rPr>
              <w:t xml:space="preserve"> לרבות מרפסות, גגות </w:t>
            </w:r>
            <w:r>
              <w:rPr>
                <w:rFonts w:hint="cs"/>
                <w:rtl/>
              </w:rPr>
              <w:t>ו</w:t>
            </w:r>
            <w:r w:rsidRPr="00D15F09">
              <w:rPr>
                <w:rFonts w:hint="cs"/>
                <w:rtl/>
              </w:rPr>
              <w:t>מדרגות</w:t>
            </w:r>
            <w:r w:rsidRPr="00D15F09">
              <w:rPr>
                <w:rtl/>
              </w:rPr>
              <w:t>;</w:t>
            </w:r>
          </w:p>
        </w:tc>
      </w:tr>
      <w:tr w:rsidR="00027DEB" w14:paraId="26945FDE" w14:textId="77777777" w:rsidTr="00C57C6F">
        <w:trPr>
          <w:cantSplit/>
          <w:trHeight w:val="60"/>
        </w:trPr>
        <w:tc>
          <w:tcPr>
            <w:tcW w:w="1869" w:type="dxa"/>
          </w:tcPr>
          <w:p w14:paraId="2911BA4A" w14:textId="77777777" w:rsidR="00027DEB" w:rsidRDefault="00027DEB" w:rsidP="00C57C6F">
            <w:pPr>
              <w:pStyle w:val="TableSideHeading"/>
              <w:rPr>
                <w:rtl/>
              </w:rPr>
            </w:pPr>
          </w:p>
        </w:tc>
        <w:tc>
          <w:tcPr>
            <w:tcW w:w="624" w:type="dxa"/>
          </w:tcPr>
          <w:p w14:paraId="28248472" w14:textId="77777777" w:rsidR="00027DEB" w:rsidRDefault="00027DEB" w:rsidP="00C57C6F">
            <w:pPr>
              <w:pStyle w:val="TableText"/>
            </w:pPr>
          </w:p>
        </w:tc>
        <w:tc>
          <w:tcPr>
            <w:tcW w:w="624" w:type="dxa"/>
          </w:tcPr>
          <w:p w14:paraId="1BF9E1E8" w14:textId="77777777" w:rsidR="00027DEB" w:rsidRDefault="00027DEB" w:rsidP="00C57C6F">
            <w:pPr>
              <w:pStyle w:val="TableText"/>
            </w:pPr>
          </w:p>
        </w:tc>
        <w:tc>
          <w:tcPr>
            <w:tcW w:w="624" w:type="dxa"/>
          </w:tcPr>
          <w:p w14:paraId="5C5C489D" w14:textId="77777777" w:rsidR="00027DEB" w:rsidRDefault="00027DEB" w:rsidP="00C57C6F">
            <w:pPr>
              <w:pStyle w:val="TableText"/>
            </w:pPr>
          </w:p>
        </w:tc>
        <w:tc>
          <w:tcPr>
            <w:tcW w:w="624" w:type="dxa"/>
          </w:tcPr>
          <w:p w14:paraId="5B5A85E0" w14:textId="77777777" w:rsidR="00027DEB" w:rsidRDefault="00027DEB" w:rsidP="00C57C6F">
            <w:pPr>
              <w:pStyle w:val="TableText"/>
            </w:pPr>
          </w:p>
        </w:tc>
        <w:tc>
          <w:tcPr>
            <w:tcW w:w="624" w:type="dxa"/>
          </w:tcPr>
          <w:p w14:paraId="3ACED038" w14:textId="77777777" w:rsidR="00027DEB" w:rsidRDefault="00027DEB" w:rsidP="00C57C6F">
            <w:pPr>
              <w:pStyle w:val="TableText"/>
            </w:pPr>
          </w:p>
        </w:tc>
        <w:tc>
          <w:tcPr>
            <w:tcW w:w="4649" w:type="dxa"/>
            <w:gridSpan w:val="3"/>
          </w:tcPr>
          <w:p w14:paraId="2B16D920" w14:textId="311C3412" w:rsidR="00027DEB" w:rsidRPr="00D15F09" w:rsidRDefault="00027DEB" w:rsidP="00C57C6F">
            <w:pPr>
              <w:pStyle w:val="TableBlockOutdent"/>
              <w:rPr>
                <w:rtl/>
              </w:rPr>
            </w:pPr>
            <w:r w:rsidRPr="000E157B">
              <w:rPr>
                <w:rFonts w:hint="cs"/>
                <w:rtl/>
              </w:rPr>
              <w:t xml:space="preserve">"נושא משרה" </w:t>
            </w:r>
            <w:r w:rsidRPr="000E157B">
              <w:rPr>
                <w:rtl/>
              </w:rPr>
              <w:t>–</w:t>
            </w:r>
            <w:r w:rsidRPr="000E157B">
              <w:rPr>
                <w:rFonts w:hint="cs"/>
                <w:rtl/>
              </w:rPr>
              <w:t xml:space="preserve"> </w:t>
            </w:r>
            <w:r w:rsidRPr="000E157B">
              <w:rPr>
                <w:rtl/>
              </w:rPr>
              <w:t>מנהל פעיל בתאגיד, שותף</w:t>
            </w:r>
            <w:r w:rsidR="00C57C6F">
              <w:rPr>
                <w:rFonts w:hint="cs"/>
                <w:rtl/>
              </w:rPr>
              <w:t>,</w:t>
            </w:r>
            <w:r w:rsidRPr="000E157B">
              <w:rPr>
                <w:rtl/>
              </w:rPr>
              <w:t xml:space="preserve"> למעט שותף מוגבל, </w:t>
            </w:r>
            <w:r w:rsidRPr="000E157B">
              <w:rPr>
                <w:rFonts w:hint="cs"/>
                <w:rtl/>
              </w:rPr>
              <w:t xml:space="preserve">דירקטור, וכן </w:t>
            </w:r>
            <w:r w:rsidRPr="00D15F09">
              <w:rPr>
                <w:rtl/>
              </w:rPr>
              <w:t>פקיד האחראי מטעם התאגיד על ניהול כוח האדם בתאגיד.</w:t>
            </w:r>
            <w:r w:rsidRPr="00D15F09">
              <w:rPr>
                <w:rFonts w:hint="cs"/>
                <w:rtl/>
              </w:rPr>
              <w:t>"</w:t>
            </w:r>
          </w:p>
        </w:tc>
      </w:tr>
      <w:tr w:rsidR="00027DEB" w:rsidRPr="003C16D3" w14:paraId="5E2782DB" w14:textId="77777777" w:rsidTr="00C57C6F">
        <w:trPr>
          <w:cantSplit/>
        </w:trPr>
        <w:tc>
          <w:tcPr>
            <w:tcW w:w="1869" w:type="dxa"/>
          </w:tcPr>
          <w:p w14:paraId="252E86D1" w14:textId="77777777" w:rsidR="00027DEB" w:rsidRPr="0011426A" w:rsidRDefault="00027DEB" w:rsidP="00C57C6F">
            <w:pPr>
              <w:pStyle w:val="TableBlock"/>
            </w:pPr>
            <w:r w:rsidRPr="0011426A">
              <w:rPr>
                <w:rFonts w:hint="cs"/>
                <w:rtl/>
              </w:rPr>
              <w:t>תיקון סעיף 2</w:t>
            </w:r>
          </w:p>
        </w:tc>
        <w:tc>
          <w:tcPr>
            <w:tcW w:w="624" w:type="dxa"/>
          </w:tcPr>
          <w:p w14:paraId="04F6B820" w14:textId="77777777" w:rsidR="00027DEB" w:rsidRPr="0046280E" w:rsidRDefault="00027DEB" w:rsidP="00C57C6F">
            <w:pPr>
              <w:pStyle w:val="TableBlock"/>
              <w:rPr>
                <w:sz w:val="26"/>
              </w:rPr>
            </w:pPr>
            <w:r w:rsidRPr="0046280E">
              <w:rPr>
                <w:sz w:val="26"/>
                <w:rtl/>
              </w:rPr>
              <w:t>3.</w:t>
            </w:r>
          </w:p>
        </w:tc>
        <w:tc>
          <w:tcPr>
            <w:tcW w:w="7145" w:type="dxa"/>
            <w:gridSpan w:val="7"/>
          </w:tcPr>
          <w:p w14:paraId="08025FF2" w14:textId="77777777" w:rsidR="00027DEB" w:rsidRPr="0046280E" w:rsidRDefault="00027DEB" w:rsidP="00C57C6F">
            <w:pPr>
              <w:pStyle w:val="TableBlock"/>
              <w:rPr>
                <w:sz w:val="26"/>
                <w:rtl/>
              </w:rPr>
            </w:pPr>
            <w:r w:rsidRPr="003C16D3">
              <w:rPr>
                <w:rFonts w:hint="cs"/>
                <w:sz w:val="26"/>
                <w:rtl/>
              </w:rPr>
              <w:t>בסעיף 2</w:t>
            </w:r>
            <w:r>
              <w:rPr>
                <w:rFonts w:hint="cs"/>
                <w:sz w:val="26"/>
                <w:rtl/>
              </w:rPr>
              <w:t>(א)</w:t>
            </w:r>
            <w:r w:rsidRPr="003C16D3">
              <w:rPr>
                <w:rFonts w:hint="cs"/>
                <w:sz w:val="26"/>
                <w:rtl/>
              </w:rPr>
              <w:t xml:space="preserve"> לחוק העיקרי</w:t>
            </w:r>
            <w:r>
              <w:rPr>
                <w:rFonts w:hint="cs"/>
                <w:sz w:val="26"/>
                <w:rtl/>
              </w:rPr>
              <w:t xml:space="preserve">, במקום "המחזיק למעשה של מקום ציבורי כבעלים </w:t>
            </w:r>
            <w:r w:rsidRPr="0046280E">
              <w:rPr>
                <w:rFonts w:hint="eastAsia"/>
                <w:rtl/>
              </w:rPr>
              <w:t>כשוכר</w:t>
            </w:r>
            <w:r w:rsidRPr="0046280E">
              <w:rPr>
                <w:rtl/>
              </w:rPr>
              <w:t xml:space="preserve"> או בכל אופן אחר (להלן – המחזיק),</w:t>
            </w:r>
            <w:r>
              <w:rPr>
                <w:rFonts w:hint="cs"/>
                <w:sz w:val="26"/>
                <w:rtl/>
              </w:rPr>
              <w:t>" יבוא "מחזיק של מקום ציבורי".</w:t>
            </w:r>
          </w:p>
        </w:tc>
        <w:bookmarkStart w:id="4" w:name="_GoBack"/>
        <w:bookmarkEnd w:id="4"/>
      </w:tr>
      <w:tr w:rsidR="00027DEB" w:rsidRPr="003C16D3" w14:paraId="2C4C8709" w14:textId="77777777" w:rsidTr="00C57C6F">
        <w:trPr>
          <w:cantSplit/>
        </w:trPr>
        <w:tc>
          <w:tcPr>
            <w:tcW w:w="1869" w:type="dxa"/>
          </w:tcPr>
          <w:p w14:paraId="2CD3F163" w14:textId="77777777" w:rsidR="00027DEB" w:rsidRDefault="00027DEB" w:rsidP="00C57C6F">
            <w:pPr>
              <w:pStyle w:val="TableSideHeading"/>
              <w:ind w:right="0"/>
              <w:rPr>
                <w:sz w:val="26"/>
                <w:rtl/>
              </w:rPr>
            </w:pPr>
            <w:r>
              <w:rPr>
                <w:rFonts w:hint="cs"/>
                <w:sz w:val="26"/>
                <w:rtl/>
              </w:rPr>
              <w:t xml:space="preserve">החלפת </w:t>
            </w:r>
            <w:r w:rsidRPr="003C16D3">
              <w:rPr>
                <w:rFonts w:hint="cs"/>
                <w:sz w:val="26"/>
                <w:rtl/>
              </w:rPr>
              <w:t>סעיף 2א</w:t>
            </w:r>
          </w:p>
        </w:tc>
        <w:tc>
          <w:tcPr>
            <w:tcW w:w="624" w:type="dxa"/>
          </w:tcPr>
          <w:p w14:paraId="59E03708" w14:textId="77777777" w:rsidR="00027DEB" w:rsidRPr="009F682B" w:rsidRDefault="00027DEB" w:rsidP="00C57C6F">
            <w:pPr>
              <w:pStyle w:val="TableBlockOutdent"/>
            </w:pPr>
            <w:r w:rsidRPr="009F682B">
              <w:rPr>
                <w:rFonts w:hint="cs"/>
                <w:rtl/>
              </w:rPr>
              <w:t>4.</w:t>
            </w:r>
          </w:p>
        </w:tc>
        <w:tc>
          <w:tcPr>
            <w:tcW w:w="7145" w:type="dxa"/>
            <w:gridSpan w:val="7"/>
          </w:tcPr>
          <w:p w14:paraId="09AC2678" w14:textId="77777777" w:rsidR="00027DEB" w:rsidRDefault="00027DEB" w:rsidP="00C57C6F">
            <w:pPr>
              <w:pStyle w:val="TableBlock"/>
              <w:rPr>
                <w:sz w:val="26"/>
                <w:rtl/>
              </w:rPr>
            </w:pPr>
            <w:r>
              <w:rPr>
                <w:rFonts w:hint="cs"/>
                <w:sz w:val="26"/>
                <w:rtl/>
              </w:rPr>
              <w:t xml:space="preserve">במקום </w:t>
            </w:r>
            <w:r w:rsidRPr="003C16D3">
              <w:rPr>
                <w:rFonts w:hint="cs"/>
                <w:sz w:val="26"/>
                <w:rtl/>
              </w:rPr>
              <w:t>סעיף 2א לחוק העיקרי</w:t>
            </w:r>
            <w:r>
              <w:rPr>
                <w:rFonts w:hint="cs"/>
                <w:sz w:val="26"/>
                <w:rtl/>
              </w:rPr>
              <w:t xml:space="preserve"> יבוא: </w:t>
            </w:r>
          </w:p>
        </w:tc>
      </w:tr>
      <w:tr w:rsidR="00027DEB" w14:paraId="690BB38B" w14:textId="77777777" w:rsidTr="00C57C6F">
        <w:trPr>
          <w:cantSplit/>
          <w:trHeight w:val="60"/>
        </w:trPr>
        <w:tc>
          <w:tcPr>
            <w:tcW w:w="1869" w:type="dxa"/>
          </w:tcPr>
          <w:p w14:paraId="0EE53C04" w14:textId="77777777" w:rsidR="00027DEB" w:rsidRDefault="00027DEB" w:rsidP="00C57C6F">
            <w:pPr>
              <w:pStyle w:val="TableSideHeading"/>
              <w:keepLines w:val="0"/>
            </w:pPr>
          </w:p>
        </w:tc>
        <w:tc>
          <w:tcPr>
            <w:tcW w:w="624" w:type="dxa"/>
          </w:tcPr>
          <w:p w14:paraId="0B3C0D78" w14:textId="77777777" w:rsidR="00027DEB" w:rsidRDefault="00027DEB" w:rsidP="00C57C6F">
            <w:pPr>
              <w:pStyle w:val="TableText"/>
              <w:keepLines w:val="0"/>
            </w:pPr>
          </w:p>
        </w:tc>
        <w:tc>
          <w:tcPr>
            <w:tcW w:w="1872" w:type="dxa"/>
            <w:gridSpan w:val="3"/>
          </w:tcPr>
          <w:p w14:paraId="19DD67EC" w14:textId="77777777" w:rsidR="00027DEB" w:rsidRDefault="00027DEB" w:rsidP="00C57C6F">
            <w:pPr>
              <w:pStyle w:val="TableInnerSideHeading"/>
            </w:pPr>
            <w:r>
              <w:rPr>
                <w:rFonts w:hint="cs"/>
                <w:rtl/>
              </w:rPr>
              <w:t>"חובות המחזיק של מקום ציבורי</w:t>
            </w:r>
          </w:p>
        </w:tc>
        <w:tc>
          <w:tcPr>
            <w:tcW w:w="624" w:type="dxa"/>
          </w:tcPr>
          <w:p w14:paraId="5DE88C78" w14:textId="77777777" w:rsidR="00027DEB" w:rsidRDefault="00027DEB" w:rsidP="00C57C6F">
            <w:pPr>
              <w:pStyle w:val="TableText"/>
            </w:pPr>
            <w:r>
              <w:rPr>
                <w:rFonts w:hint="cs"/>
                <w:rtl/>
              </w:rPr>
              <w:t>2א.</w:t>
            </w:r>
          </w:p>
        </w:tc>
        <w:tc>
          <w:tcPr>
            <w:tcW w:w="4649" w:type="dxa"/>
            <w:gridSpan w:val="3"/>
          </w:tcPr>
          <w:p w14:paraId="3D61B93A" w14:textId="22065C60" w:rsidR="00027DEB" w:rsidRDefault="00027DEB" w:rsidP="00C57C6F">
            <w:pPr>
              <w:pStyle w:val="TableBlock"/>
            </w:pPr>
            <w:r>
              <w:rPr>
                <w:rFonts w:hint="cs"/>
                <w:rtl/>
              </w:rPr>
              <w:t>(א)</w:t>
            </w:r>
            <w:r>
              <w:rPr>
                <w:rtl/>
              </w:rPr>
              <w:tab/>
            </w:r>
            <w:r>
              <w:rPr>
                <w:rFonts w:hint="cs"/>
                <w:rtl/>
              </w:rPr>
              <w:t xml:space="preserve">המחזיק של מקום ציבורי חייב לפקח </w:t>
            </w:r>
            <w:r w:rsidRPr="00F66607">
              <w:rPr>
                <w:rFonts w:hint="cs"/>
                <w:rtl/>
              </w:rPr>
              <w:t>ולעשות כל שניתן</w:t>
            </w:r>
            <w:r>
              <w:rPr>
                <w:rFonts w:hint="cs"/>
                <w:rtl/>
              </w:rPr>
              <w:t xml:space="preserve"> כדי למנוע עישון במקום שבשליטתו; יראו את המחזיק של מקום ציבורי כמי שמילא אחר הוראות סעיף קטן זה אם הוכיח כי עשה בפועל </w:t>
            </w:r>
            <w:r w:rsidR="00C57C6F">
              <w:rPr>
                <w:rFonts w:hint="cs"/>
                <w:rtl/>
              </w:rPr>
              <w:t xml:space="preserve">את </w:t>
            </w:r>
            <w:r>
              <w:rPr>
                <w:rFonts w:hint="cs"/>
                <w:rtl/>
              </w:rPr>
              <w:t xml:space="preserve">כל אלה: </w:t>
            </w:r>
            <w:r>
              <w:rPr>
                <w:rFonts w:hint="cs"/>
                <w:sz w:val="26"/>
                <w:rtl/>
              </w:rPr>
              <w:t xml:space="preserve"> </w:t>
            </w:r>
          </w:p>
        </w:tc>
      </w:tr>
      <w:tr w:rsidR="00027DEB" w14:paraId="4E36B51A" w14:textId="77777777" w:rsidTr="00C57C6F">
        <w:trPr>
          <w:cantSplit/>
          <w:trHeight w:val="60"/>
        </w:trPr>
        <w:tc>
          <w:tcPr>
            <w:tcW w:w="1869" w:type="dxa"/>
          </w:tcPr>
          <w:p w14:paraId="00F3D4A9" w14:textId="77777777" w:rsidR="00027DEB" w:rsidRDefault="00027DEB" w:rsidP="00C57C6F">
            <w:pPr>
              <w:pStyle w:val="TableSideHeading"/>
            </w:pPr>
          </w:p>
        </w:tc>
        <w:tc>
          <w:tcPr>
            <w:tcW w:w="624" w:type="dxa"/>
          </w:tcPr>
          <w:p w14:paraId="2531FFDC" w14:textId="77777777" w:rsidR="00027DEB" w:rsidRDefault="00027DEB" w:rsidP="00C57C6F">
            <w:pPr>
              <w:pStyle w:val="TableText"/>
            </w:pPr>
          </w:p>
        </w:tc>
        <w:tc>
          <w:tcPr>
            <w:tcW w:w="624" w:type="dxa"/>
          </w:tcPr>
          <w:p w14:paraId="0A3151B3" w14:textId="77777777" w:rsidR="00027DEB" w:rsidRDefault="00027DEB" w:rsidP="00C57C6F">
            <w:pPr>
              <w:pStyle w:val="TableText"/>
            </w:pPr>
          </w:p>
        </w:tc>
        <w:tc>
          <w:tcPr>
            <w:tcW w:w="624" w:type="dxa"/>
          </w:tcPr>
          <w:p w14:paraId="2117F68A" w14:textId="77777777" w:rsidR="00027DEB" w:rsidRDefault="00027DEB" w:rsidP="00C57C6F">
            <w:pPr>
              <w:pStyle w:val="TableText"/>
            </w:pPr>
          </w:p>
        </w:tc>
        <w:tc>
          <w:tcPr>
            <w:tcW w:w="624" w:type="dxa"/>
          </w:tcPr>
          <w:p w14:paraId="2F59D84C" w14:textId="77777777" w:rsidR="00027DEB" w:rsidRDefault="00027DEB" w:rsidP="00C57C6F">
            <w:pPr>
              <w:pStyle w:val="TableText"/>
            </w:pPr>
          </w:p>
        </w:tc>
        <w:tc>
          <w:tcPr>
            <w:tcW w:w="624" w:type="dxa"/>
          </w:tcPr>
          <w:p w14:paraId="24CBBABC" w14:textId="77777777" w:rsidR="00027DEB" w:rsidRDefault="00027DEB" w:rsidP="00C57C6F">
            <w:pPr>
              <w:pStyle w:val="TableText"/>
            </w:pPr>
          </w:p>
        </w:tc>
        <w:tc>
          <w:tcPr>
            <w:tcW w:w="624" w:type="dxa"/>
          </w:tcPr>
          <w:p w14:paraId="36C77555" w14:textId="77777777" w:rsidR="00027DEB" w:rsidRDefault="00027DEB" w:rsidP="00C57C6F">
            <w:pPr>
              <w:pStyle w:val="TableText"/>
            </w:pPr>
          </w:p>
        </w:tc>
        <w:tc>
          <w:tcPr>
            <w:tcW w:w="4025" w:type="dxa"/>
            <w:gridSpan w:val="2"/>
          </w:tcPr>
          <w:p w14:paraId="1CED1476" w14:textId="77777777" w:rsidR="00027DEB" w:rsidRDefault="00027DEB" w:rsidP="00C57C6F">
            <w:pPr>
              <w:pStyle w:val="TableBlock"/>
            </w:pPr>
            <w:r w:rsidRPr="007220EF">
              <w:rPr>
                <w:rtl/>
              </w:rPr>
              <w:t>(1)</w:t>
            </w:r>
            <w:r w:rsidRPr="007220EF">
              <w:rPr>
                <w:rtl/>
              </w:rPr>
              <w:tab/>
            </w:r>
            <w:r w:rsidRPr="007220EF">
              <w:rPr>
                <w:rFonts w:hint="eastAsia"/>
                <w:rtl/>
              </w:rPr>
              <w:t>דרש</w:t>
            </w:r>
            <w:r w:rsidRPr="007220EF">
              <w:rPr>
                <w:rtl/>
              </w:rPr>
              <w:t xml:space="preserve"> מהאדם המעשן </w:t>
            </w:r>
            <w:r w:rsidRPr="007220EF">
              <w:rPr>
                <w:rFonts w:hint="eastAsia"/>
                <w:rtl/>
              </w:rPr>
              <w:t>או</w:t>
            </w:r>
            <w:r w:rsidRPr="007220EF">
              <w:rPr>
                <w:rtl/>
              </w:rPr>
              <w:t xml:space="preserve"> המחזיק מוצר עישון במקום ציבורי, </w:t>
            </w:r>
            <w:r w:rsidRPr="007220EF">
              <w:rPr>
                <w:rFonts w:hint="eastAsia"/>
                <w:rtl/>
              </w:rPr>
              <w:t>בין</w:t>
            </w:r>
            <w:r w:rsidRPr="007220EF">
              <w:rPr>
                <w:rtl/>
              </w:rPr>
              <w:t xml:space="preserve"> </w:t>
            </w:r>
            <w:r w:rsidRPr="007220EF">
              <w:rPr>
                <w:rFonts w:hint="eastAsia"/>
                <w:rtl/>
              </w:rPr>
              <w:t>בעצמו</w:t>
            </w:r>
            <w:r w:rsidRPr="007220EF">
              <w:rPr>
                <w:rtl/>
              </w:rPr>
              <w:t xml:space="preserve"> </w:t>
            </w:r>
            <w:r w:rsidRPr="007220EF">
              <w:rPr>
                <w:rFonts w:hint="eastAsia"/>
                <w:rtl/>
              </w:rPr>
              <w:t>ובין</w:t>
            </w:r>
            <w:r w:rsidRPr="007220EF">
              <w:rPr>
                <w:rtl/>
              </w:rPr>
              <w:t xml:space="preserve"> </w:t>
            </w:r>
            <w:r w:rsidRPr="007220EF">
              <w:rPr>
                <w:rFonts w:hint="eastAsia"/>
                <w:rtl/>
              </w:rPr>
              <w:t>באמצעות</w:t>
            </w:r>
            <w:r w:rsidRPr="007220EF">
              <w:rPr>
                <w:rtl/>
              </w:rPr>
              <w:t xml:space="preserve"> </w:t>
            </w:r>
            <w:r w:rsidRPr="007220EF">
              <w:rPr>
                <w:rFonts w:hint="eastAsia"/>
                <w:rtl/>
              </w:rPr>
              <w:t>אחר</w:t>
            </w:r>
            <w:r w:rsidRPr="007220EF">
              <w:rPr>
                <w:rtl/>
              </w:rPr>
              <w:t xml:space="preserve"> </w:t>
            </w:r>
            <w:r w:rsidRPr="007220EF">
              <w:rPr>
                <w:rFonts w:hint="eastAsia"/>
                <w:rtl/>
              </w:rPr>
              <w:t>מטעמו</w:t>
            </w:r>
            <w:r w:rsidRPr="007220EF">
              <w:rPr>
                <w:rtl/>
              </w:rPr>
              <w:t xml:space="preserve">, לרבות סדרן </w:t>
            </w:r>
            <w:r w:rsidRPr="007220EF">
              <w:rPr>
                <w:rFonts w:hint="eastAsia"/>
                <w:rtl/>
              </w:rPr>
              <w:t>כאמור</w:t>
            </w:r>
            <w:r w:rsidRPr="007220EF">
              <w:rPr>
                <w:rtl/>
              </w:rPr>
              <w:t xml:space="preserve"> </w:t>
            </w:r>
            <w:r w:rsidRPr="007220EF">
              <w:rPr>
                <w:rFonts w:hint="eastAsia"/>
                <w:rtl/>
              </w:rPr>
              <w:t>בפסקה</w:t>
            </w:r>
            <w:r w:rsidRPr="007220EF">
              <w:rPr>
                <w:rtl/>
              </w:rPr>
              <w:t xml:space="preserve"> (2) </w:t>
            </w:r>
            <w:r w:rsidRPr="007220EF">
              <w:rPr>
                <w:rFonts w:hint="eastAsia"/>
                <w:rtl/>
              </w:rPr>
              <w:t>או</w:t>
            </w:r>
            <w:r w:rsidRPr="007220EF">
              <w:rPr>
                <w:rtl/>
              </w:rPr>
              <w:t xml:space="preserve"> </w:t>
            </w:r>
            <w:r w:rsidRPr="007220EF">
              <w:rPr>
                <w:rFonts w:hint="eastAsia"/>
                <w:rtl/>
              </w:rPr>
              <w:t>מאבטח</w:t>
            </w:r>
            <w:r w:rsidRPr="007220EF">
              <w:rPr>
                <w:rtl/>
              </w:rPr>
              <w:t xml:space="preserve">, </w:t>
            </w:r>
            <w:r w:rsidRPr="007220EF">
              <w:rPr>
                <w:rFonts w:hint="eastAsia"/>
                <w:rtl/>
              </w:rPr>
              <w:t>לחדול</w:t>
            </w:r>
            <w:r w:rsidRPr="007220EF">
              <w:rPr>
                <w:rtl/>
              </w:rPr>
              <w:t xml:space="preserve"> מהמעשה האסור </w:t>
            </w:r>
            <w:r w:rsidRPr="007220EF">
              <w:rPr>
                <w:rFonts w:hint="eastAsia"/>
                <w:rtl/>
              </w:rPr>
              <w:t>ונקט</w:t>
            </w:r>
            <w:r w:rsidRPr="007220EF">
              <w:rPr>
                <w:rtl/>
              </w:rPr>
              <w:t xml:space="preserve"> </w:t>
            </w:r>
            <w:r w:rsidRPr="007220EF">
              <w:rPr>
                <w:rFonts w:hint="eastAsia"/>
                <w:rtl/>
              </w:rPr>
              <w:t>באמצעים</w:t>
            </w:r>
            <w:r w:rsidRPr="007220EF">
              <w:rPr>
                <w:rtl/>
              </w:rPr>
              <w:t xml:space="preserve"> </w:t>
            </w:r>
            <w:r w:rsidRPr="007220EF">
              <w:rPr>
                <w:rFonts w:hint="eastAsia"/>
                <w:rtl/>
              </w:rPr>
              <w:t>שברשותו</w:t>
            </w:r>
            <w:r w:rsidRPr="007220EF">
              <w:rPr>
                <w:rtl/>
              </w:rPr>
              <w:t xml:space="preserve"> </w:t>
            </w:r>
            <w:r w:rsidRPr="007220EF">
              <w:rPr>
                <w:rFonts w:hint="eastAsia"/>
                <w:rtl/>
              </w:rPr>
              <w:t>כדי</w:t>
            </w:r>
            <w:r w:rsidRPr="007220EF">
              <w:rPr>
                <w:rtl/>
              </w:rPr>
              <w:t xml:space="preserve"> להבטיח מניעת </w:t>
            </w:r>
            <w:r w:rsidRPr="007220EF">
              <w:rPr>
                <w:rFonts w:hint="eastAsia"/>
                <w:rtl/>
              </w:rPr>
              <w:t>עבירות</w:t>
            </w:r>
            <w:r w:rsidRPr="007220EF">
              <w:rPr>
                <w:rtl/>
              </w:rPr>
              <w:t xml:space="preserve"> </w:t>
            </w:r>
            <w:r w:rsidRPr="007220EF">
              <w:rPr>
                <w:rFonts w:hint="eastAsia"/>
                <w:rtl/>
              </w:rPr>
              <w:t>לפי</w:t>
            </w:r>
            <w:r w:rsidRPr="007220EF">
              <w:rPr>
                <w:rtl/>
              </w:rPr>
              <w:t xml:space="preserve"> </w:t>
            </w:r>
            <w:r w:rsidRPr="007220EF">
              <w:rPr>
                <w:rFonts w:hint="eastAsia"/>
                <w:rtl/>
              </w:rPr>
              <w:t>סעיף</w:t>
            </w:r>
            <w:r w:rsidRPr="007220EF">
              <w:rPr>
                <w:rtl/>
              </w:rPr>
              <w:t xml:space="preserve"> 1;</w:t>
            </w:r>
          </w:p>
        </w:tc>
      </w:tr>
      <w:tr w:rsidR="00027DEB" w14:paraId="6981072B" w14:textId="77777777" w:rsidTr="00C57C6F">
        <w:trPr>
          <w:cantSplit/>
          <w:trHeight w:val="60"/>
        </w:trPr>
        <w:tc>
          <w:tcPr>
            <w:tcW w:w="1869" w:type="dxa"/>
          </w:tcPr>
          <w:p w14:paraId="23CE962A" w14:textId="77777777" w:rsidR="00027DEB" w:rsidRDefault="00027DEB" w:rsidP="00C57C6F">
            <w:pPr>
              <w:pStyle w:val="TableSideHeading"/>
            </w:pPr>
          </w:p>
        </w:tc>
        <w:tc>
          <w:tcPr>
            <w:tcW w:w="624" w:type="dxa"/>
          </w:tcPr>
          <w:p w14:paraId="47639C6E" w14:textId="77777777" w:rsidR="00027DEB" w:rsidRDefault="00027DEB" w:rsidP="00C57C6F">
            <w:pPr>
              <w:pStyle w:val="TableText"/>
            </w:pPr>
          </w:p>
        </w:tc>
        <w:tc>
          <w:tcPr>
            <w:tcW w:w="624" w:type="dxa"/>
          </w:tcPr>
          <w:p w14:paraId="5374F343" w14:textId="77777777" w:rsidR="00027DEB" w:rsidRDefault="00027DEB" w:rsidP="00C57C6F">
            <w:pPr>
              <w:pStyle w:val="TableText"/>
            </w:pPr>
          </w:p>
        </w:tc>
        <w:tc>
          <w:tcPr>
            <w:tcW w:w="624" w:type="dxa"/>
          </w:tcPr>
          <w:p w14:paraId="48A5403C" w14:textId="77777777" w:rsidR="00027DEB" w:rsidRDefault="00027DEB" w:rsidP="00C57C6F">
            <w:pPr>
              <w:pStyle w:val="TableText"/>
            </w:pPr>
          </w:p>
        </w:tc>
        <w:tc>
          <w:tcPr>
            <w:tcW w:w="624" w:type="dxa"/>
          </w:tcPr>
          <w:p w14:paraId="069E110C" w14:textId="77777777" w:rsidR="00027DEB" w:rsidRDefault="00027DEB" w:rsidP="00C57C6F">
            <w:pPr>
              <w:pStyle w:val="TableText"/>
            </w:pPr>
          </w:p>
        </w:tc>
        <w:tc>
          <w:tcPr>
            <w:tcW w:w="624" w:type="dxa"/>
          </w:tcPr>
          <w:p w14:paraId="7900A544" w14:textId="77777777" w:rsidR="00027DEB" w:rsidRDefault="00027DEB" w:rsidP="00C57C6F">
            <w:pPr>
              <w:pStyle w:val="TableText"/>
            </w:pPr>
          </w:p>
        </w:tc>
        <w:tc>
          <w:tcPr>
            <w:tcW w:w="624" w:type="dxa"/>
          </w:tcPr>
          <w:p w14:paraId="28D10C7A" w14:textId="77777777" w:rsidR="00027DEB" w:rsidRDefault="00027DEB" w:rsidP="00C57C6F">
            <w:pPr>
              <w:pStyle w:val="TableText"/>
            </w:pPr>
          </w:p>
        </w:tc>
        <w:tc>
          <w:tcPr>
            <w:tcW w:w="4025" w:type="dxa"/>
            <w:gridSpan w:val="2"/>
          </w:tcPr>
          <w:p w14:paraId="76D87803" w14:textId="77777777" w:rsidR="00027DEB" w:rsidRDefault="00027DEB" w:rsidP="00C57C6F">
            <w:pPr>
              <w:pStyle w:val="TableBlock"/>
            </w:pPr>
            <w:r w:rsidRPr="00D416A4">
              <w:rPr>
                <w:rtl/>
              </w:rPr>
              <w:t>(</w:t>
            </w:r>
            <w:r>
              <w:rPr>
                <w:rFonts w:hint="cs"/>
                <w:rtl/>
              </w:rPr>
              <w:t>2</w:t>
            </w:r>
            <w:r w:rsidRPr="00D416A4">
              <w:rPr>
                <w:rtl/>
              </w:rPr>
              <w:t>)</w:t>
            </w:r>
            <w:r w:rsidRPr="00D416A4">
              <w:rPr>
                <w:rtl/>
              </w:rPr>
              <w:tab/>
            </w:r>
            <w:r>
              <w:rPr>
                <w:rFonts w:hint="cs"/>
                <w:rtl/>
              </w:rPr>
              <w:t>הורה למאבטח המועסק אצלו או לחברת אבטחה ששכר לוודא שהוראות חוק זה מתקיימות במקום הציבורי שבאחזקתו;</w:t>
            </w:r>
          </w:p>
        </w:tc>
      </w:tr>
      <w:tr w:rsidR="00027DEB" w14:paraId="20A25CF0" w14:textId="77777777" w:rsidTr="00C57C6F">
        <w:trPr>
          <w:cantSplit/>
          <w:trHeight w:val="60"/>
        </w:trPr>
        <w:tc>
          <w:tcPr>
            <w:tcW w:w="1869" w:type="dxa"/>
          </w:tcPr>
          <w:p w14:paraId="15FCF509" w14:textId="77777777" w:rsidR="00027DEB" w:rsidRDefault="00027DEB" w:rsidP="00C57C6F">
            <w:pPr>
              <w:pStyle w:val="TableSideHeading"/>
            </w:pPr>
          </w:p>
        </w:tc>
        <w:tc>
          <w:tcPr>
            <w:tcW w:w="624" w:type="dxa"/>
          </w:tcPr>
          <w:p w14:paraId="245109C7" w14:textId="77777777" w:rsidR="00027DEB" w:rsidRDefault="00027DEB" w:rsidP="00C57C6F">
            <w:pPr>
              <w:pStyle w:val="TableText"/>
            </w:pPr>
          </w:p>
        </w:tc>
        <w:tc>
          <w:tcPr>
            <w:tcW w:w="624" w:type="dxa"/>
          </w:tcPr>
          <w:p w14:paraId="53F0D0E9" w14:textId="77777777" w:rsidR="00027DEB" w:rsidRDefault="00027DEB" w:rsidP="00C57C6F">
            <w:pPr>
              <w:pStyle w:val="TableText"/>
            </w:pPr>
          </w:p>
        </w:tc>
        <w:tc>
          <w:tcPr>
            <w:tcW w:w="624" w:type="dxa"/>
          </w:tcPr>
          <w:p w14:paraId="588B6EA2" w14:textId="77777777" w:rsidR="00027DEB" w:rsidRDefault="00027DEB" w:rsidP="00C57C6F">
            <w:pPr>
              <w:pStyle w:val="TableText"/>
            </w:pPr>
          </w:p>
        </w:tc>
        <w:tc>
          <w:tcPr>
            <w:tcW w:w="624" w:type="dxa"/>
          </w:tcPr>
          <w:p w14:paraId="78201D95" w14:textId="77777777" w:rsidR="00027DEB" w:rsidRDefault="00027DEB" w:rsidP="00C57C6F">
            <w:pPr>
              <w:pStyle w:val="TableText"/>
            </w:pPr>
          </w:p>
        </w:tc>
        <w:tc>
          <w:tcPr>
            <w:tcW w:w="624" w:type="dxa"/>
          </w:tcPr>
          <w:p w14:paraId="031BCA14" w14:textId="77777777" w:rsidR="00027DEB" w:rsidRDefault="00027DEB" w:rsidP="00C57C6F">
            <w:pPr>
              <w:pStyle w:val="TableText"/>
            </w:pPr>
          </w:p>
        </w:tc>
        <w:tc>
          <w:tcPr>
            <w:tcW w:w="624" w:type="dxa"/>
          </w:tcPr>
          <w:p w14:paraId="5C2418F0" w14:textId="77777777" w:rsidR="00027DEB" w:rsidRDefault="00027DEB" w:rsidP="00C57C6F">
            <w:pPr>
              <w:pStyle w:val="TableText"/>
            </w:pPr>
          </w:p>
        </w:tc>
        <w:tc>
          <w:tcPr>
            <w:tcW w:w="4025" w:type="dxa"/>
            <w:gridSpan w:val="2"/>
          </w:tcPr>
          <w:p w14:paraId="6FDD8774" w14:textId="77777777" w:rsidR="00027DEB" w:rsidRDefault="00027DEB" w:rsidP="00C57C6F">
            <w:pPr>
              <w:pStyle w:val="TableBlock"/>
            </w:pPr>
            <w:r>
              <w:rPr>
                <w:rFonts w:hint="cs"/>
                <w:rtl/>
              </w:rPr>
              <w:t>(3)</w:t>
            </w:r>
            <w:r>
              <w:rPr>
                <w:rtl/>
              </w:rPr>
              <w:tab/>
            </w:r>
            <w:r w:rsidRPr="00D416A4">
              <w:rPr>
                <w:rFonts w:hint="eastAsia"/>
                <w:rtl/>
              </w:rPr>
              <w:t>התלונן</w:t>
            </w:r>
            <w:r w:rsidRPr="00D416A4">
              <w:rPr>
                <w:rtl/>
              </w:rPr>
              <w:t xml:space="preserve"> בפני הרשות המקומית </w:t>
            </w:r>
            <w:r w:rsidRPr="00D416A4">
              <w:rPr>
                <w:rFonts w:hint="eastAsia"/>
                <w:rtl/>
              </w:rPr>
              <w:t>וכן</w:t>
            </w:r>
            <w:r w:rsidRPr="00D416A4">
              <w:rPr>
                <w:rtl/>
              </w:rPr>
              <w:t xml:space="preserve"> </w:t>
            </w:r>
            <w:r w:rsidRPr="00D416A4">
              <w:rPr>
                <w:rFonts w:hint="eastAsia"/>
                <w:rtl/>
              </w:rPr>
              <w:t>בפני</w:t>
            </w:r>
            <w:r w:rsidRPr="00D416A4">
              <w:rPr>
                <w:rtl/>
              </w:rPr>
              <w:t xml:space="preserve"> </w:t>
            </w:r>
            <w:r w:rsidRPr="00D416A4">
              <w:rPr>
                <w:rFonts w:hint="eastAsia"/>
                <w:rtl/>
              </w:rPr>
              <w:t>מפקח</w:t>
            </w:r>
            <w:r w:rsidRPr="00D416A4">
              <w:rPr>
                <w:rtl/>
              </w:rPr>
              <w:t xml:space="preserve"> על הפרת הוראות סעיף 1, תוך מתן פרטים שיש בידו על זהות </w:t>
            </w:r>
            <w:r w:rsidRPr="00D416A4">
              <w:rPr>
                <w:rFonts w:hint="eastAsia"/>
                <w:rtl/>
              </w:rPr>
              <w:t>המעשן</w:t>
            </w:r>
            <w:r w:rsidRPr="00D416A4">
              <w:rPr>
                <w:rtl/>
              </w:rPr>
              <w:t xml:space="preserve">; </w:t>
            </w:r>
            <w:r w:rsidRPr="00D416A4">
              <w:rPr>
                <w:rFonts w:hint="eastAsia"/>
                <w:rtl/>
              </w:rPr>
              <w:t>הרשות</w:t>
            </w:r>
            <w:r w:rsidRPr="00D416A4">
              <w:rPr>
                <w:rtl/>
              </w:rPr>
              <w:t xml:space="preserve"> </w:t>
            </w:r>
            <w:r w:rsidRPr="00D416A4">
              <w:rPr>
                <w:rFonts w:hint="eastAsia"/>
                <w:rtl/>
              </w:rPr>
              <w:t>המקומית</w:t>
            </w:r>
            <w:r w:rsidRPr="00D416A4">
              <w:rPr>
                <w:rtl/>
              </w:rPr>
              <w:t xml:space="preserve"> </w:t>
            </w:r>
            <w:r w:rsidRPr="00D416A4">
              <w:rPr>
                <w:rFonts w:hint="eastAsia"/>
                <w:rtl/>
              </w:rPr>
              <w:t>והמפקח</w:t>
            </w:r>
            <w:r w:rsidRPr="00D416A4">
              <w:rPr>
                <w:rtl/>
              </w:rPr>
              <w:t xml:space="preserve"> </w:t>
            </w:r>
            <w:r w:rsidRPr="00D416A4">
              <w:rPr>
                <w:rFonts w:hint="eastAsia"/>
                <w:rtl/>
              </w:rPr>
              <w:t>ישמרו</w:t>
            </w:r>
            <w:r w:rsidRPr="00D416A4">
              <w:rPr>
                <w:rtl/>
              </w:rPr>
              <w:t xml:space="preserve"> </w:t>
            </w:r>
            <w:r w:rsidRPr="00D416A4">
              <w:rPr>
                <w:rFonts w:hint="eastAsia"/>
                <w:rtl/>
              </w:rPr>
              <w:t>תיעוד</w:t>
            </w:r>
            <w:r w:rsidRPr="00D416A4">
              <w:rPr>
                <w:rtl/>
              </w:rPr>
              <w:t xml:space="preserve"> </w:t>
            </w:r>
            <w:r w:rsidRPr="00D416A4">
              <w:rPr>
                <w:rFonts w:hint="eastAsia"/>
                <w:rtl/>
              </w:rPr>
              <w:t>של</w:t>
            </w:r>
            <w:r w:rsidRPr="00D416A4">
              <w:rPr>
                <w:rtl/>
              </w:rPr>
              <w:t xml:space="preserve"> </w:t>
            </w:r>
            <w:r w:rsidRPr="00D416A4">
              <w:rPr>
                <w:rFonts w:hint="eastAsia"/>
                <w:rtl/>
              </w:rPr>
              <w:t>תלונות</w:t>
            </w:r>
            <w:r w:rsidRPr="00D416A4">
              <w:rPr>
                <w:rtl/>
              </w:rPr>
              <w:t xml:space="preserve"> </w:t>
            </w:r>
            <w:r w:rsidRPr="00D416A4">
              <w:rPr>
                <w:rFonts w:hint="eastAsia"/>
                <w:rtl/>
              </w:rPr>
              <w:t>לפי</w:t>
            </w:r>
            <w:r w:rsidRPr="00D416A4">
              <w:rPr>
                <w:rtl/>
              </w:rPr>
              <w:t xml:space="preserve"> </w:t>
            </w:r>
            <w:r w:rsidRPr="00D416A4">
              <w:rPr>
                <w:rFonts w:hint="eastAsia"/>
                <w:rtl/>
              </w:rPr>
              <w:t>פסקה</w:t>
            </w:r>
            <w:r w:rsidRPr="00D416A4">
              <w:rPr>
                <w:rtl/>
              </w:rPr>
              <w:t xml:space="preserve"> </w:t>
            </w:r>
            <w:r w:rsidRPr="00D416A4">
              <w:rPr>
                <w:rFonts w:hint="eastAsia"/>
                <w:rtl/>
              </w:rPr>
              <w:t>זו</w:t>
            </w:r>
            <w:r w:rsidRPr="00D416A4">
              <w:rPr>
                <w:rtl/>
              </w:rPr>
              <w:t xml:space="preserve"> </w:t>
            </w:r>
            <w:r w:rsidRPr="00D416A4">
              <w:rPr>
                <w:rFonts w:hint="eastAsia"/>
                <w:rtl/>
              </w:rPr>
              <w:t>במשך</w:t>
            </w:r>
            <w:r w:rsidRPr="00D416A4">
              <w:rPr>
                <w:rtl/>
              </w:rPr>
              <w:t xml:space="preserve"> 5 </w:t>
            </w:r>
            <w:r w:rsidRPr="00D416A4">
              <w:rPr>
                <w:rFonts w:hint="eastAsia"/>
                <w:rtl/>
              </w:rPr>
              <w:t>שנים</w:t>
            </w:r>
            <w:r w:rsidRPr="00D416A4">
              <w:rPr>
                <w:rtl/>
              </w:rPr>
              <w:t xml:space="preserve"> </w:t>
            </w:r>
            <w:r w:rsidRPr="00D416A4">
              <w:rPr>
                <w:rFonts w:hint="eastAsia"/>
                <w:rtl/>
              </w:rPr>
              <w:t>מיום</w:t>
            </w:r>
            <w:r w:rsidRPr="00D416A4">
              <w:rPr>
                <w:rtl/>
              </w:rPr>
              <w:t xml:space="preserve"> </w:t>
            </w:r>
            <w:r w:rsidRPr="00D416A4">
              <w:rPr>
                <w:rFonts w:hint="eastAsia"/>
                <w:rtl/>
              </w:rPr>
              <w:t>שהוגשו</w:t>
            </w:r>
            <w:r w:rsidRPr="00D416A4">
              <w:rPr>
                <w:rtl/>
              </w:rPr>
              <w:t>.</w:t>
            </w:r>
          </w:p>
        </w:tc>
      </w:tr>
      <w:tr w:rsidR="00027DEB" w14:paraId="5493331E" w14:textId="77777777" w:rsidTr="00C57C6F">
        <w:trPr>
          <w:cantSplit/>
          <w:trHeight w:val="60"/>
        </w:trPr>
        <w:tc>
          <w:tcPr>
            <w:tcW w:w="1869" w:type="dxa"/>
          </w:tcPr>
          <w:p w14:paraId="0FD416F7" w14:textId="77777777" w:rsidR="00027DEB" w:rsidRDefault="00027DEB" w:rsidP="00C57C6F">
            <w:pPr>
              <w:pStyle w:val="TableSideHeading"/>
            </w:pPr>
          </w:p>
        </w:tc>
        <w:tc>
          <w:tcPr>
            <w:tcW w:w="624" w:type="dxa"/>
          </w:tcPr>
          <w:p w14:paraId="5681C8E9" w14:textId="77777777" w:rsidR="00027DEB" w:rsidRDefault="00027DEB" w:rsidP="00C57C6F">
            <w:pPr>
              <w:pStyle w:val="TableText"/>
            </w:pPr>
          </w:p>
        </w:tc>
        <w:tc>
          <w:tcPr>
            <w:tcW w:w="624" w:type="dxa"/>
          </w:tcPr>
          <w:p w14:paraId="4C0581EA" w14:textId="77777777" w:rsidR="00027DEB" w:rsidRDefault="00027DEB" w:rsidP="00C57C6F">
            <w:pPr>
              <w:pStyle w:val="TableText"/>
            </w:pPr>
          </w:p>
        </w:tc>
        <w:tc>
          <w:tcPr>
            <w:tcW w:w="624" w:type="dxa"/>
          </w:tcPr>
          <w:p w14:paraId="0A55BDBC" w14:textId="77777777" w:rsidR="00027DEB" w:rsidRDefault="00027DEB" w:rsidP="00C57C6F">
            <w:pPr>
              <w:pStyle w:val="TableText"/>
            </w:pPr>
          </w:p>
        </w:tc>
        <w:tc>
          <w:tcPr>
            <w:tcW w:w="624" w:type="dxa"/>
          </w:tcPr>
          <w:p w14:paraId="165C92F7" w14:textId="77777777" w:rsidR="00027DEB" w:rsidRDefault="00027DEB" w:rsidP="00C57C6F">
            <w:pPr>
              <w:pStyle w:val="TableText"/>
            </w:pPr>
          </w:p>
        </w:tc>
        <w:tc>
          <w:tcPr>
            <w:tcW w:w="624" w:type="dxa"/>
          </w:tcPr>
          <w:p w14:paraId="787ED403" w14:textId="77777777" w:rsidR="00027DEB" w:rsidRDefault="00027DEB" w:rsidP="00C57C6F">
            <w:pPr>
              <w:pStyle w:val="TableText"/>
            </w:pPr>
          </w:p>
        </w:tc>
        <w:tc>
          <w:tcPr>
            <w:tcW w:w="4649" w:type="dxa"/>
            <w:gridSpan w:val="3"/>
          </w:tcPr>
          <w:p w14:paraId="34985F77" w14:textId="684F267C" w:rsidR="00027DEB" w:rsidRDefault="00027DEB" w:rsidP="00D9482E">
            <w:pPr>
              <w:pStyle w:val="TableBlock"/>
              <w:rPr>
                <w:rtl/>
              </w:rPr>
            </w:pPr>
            <w:r>
              <w:rPr>
                <w:rFonts w:hint="cs"/>
                <w:rtl/>
              </w:rPr>
              <w:t>(ב)</w:t>
            </w:r>
            <w:r>
              <w:rPr>
                <w:rtl/>
              </w:rPr>
              <w:tab/>
              <w:t>ירא</w:t>
            </w:r>
            <w:r>
              <w:rPr>
                <w:rFonts w:hint="cs"/>
                <w:rtl/>
              </w:rPr>
              <w:t>ו</w:t>
            </w:r>
            <w:r w:rsidRPr="008605C2">
              <w:rPr>
                <w:rtl/>
              </w:rPr>
              <w:t xml:space="preserve"> מחזיק </w:t>
            </w:r>
            <w:r>
              <w:rPr>
                <w:rFonts w:hint="cs"/>
                <w:rtl/>
              </w:rPr>
              <w:t xml:space="preserve">של מקום ציבורי </w:t>
            </w:r>
            <w:r w:rsidRPr="008605C2">
              <w:rPr>
                <w:rtl/>
              </w:rPr>
              <w:t xml:space="preserve">כמי שלא </w:t>
            </w:r>
            <w:r>
              <w:rPr>
                <w:rtl/>
              </w:rPr>
              <w:t xml:space="preserve">מילא אחר הוראות חוק זה, </w:t>
            </w:r>
            <w:r>
              <w:rPr>
                <w:rFonts w:hint="cs"/>
                <w:rtl/>
              </w:rPr>
              <w:t>אם</w:t>
            </w:r>
            <w:r w:rsidRPr="008605C2">
              <w:rPr>
                <w:rtl/>
              </w:rPr>
              <w:t xml:space="preserve"> נמצא במקום יותר מאדם אחד שעישן או החזיק </w:t>
            </w:r>
            <w:r w:rsidR="00D9482E">
              <w:rPr>
                <w:rFonts w:hint="cs"/>
                <w:rtl/>
              </w:rPr>
              <w:t>מוצר עישון</w:t>
            </w:r>
            <w:r w:rsidRPr="008605C2">
              <w:rPr>
                <w:rtl/>
              </w:rPr>
              <w:t xml:space="preserve"> דלוק</w:t>
            </w:r>
            <w:r>
              <w:rPr>
                <w:rFonts w:hint="cs"/>
                <w:rtl/>
              </w:rPr>
              <w:t>."</w:t>
            </w:r>
          </w:p>
        </w:tc>
      </w:tr>
      <w:tr w:rsidR="00027DEB" w:rsidRPr="003C16D3" w14:paraId="3DB1348F" w14:textId="77777777" w:rsidTr="00C57C6F">
        <w:trPr>
          <w:cantSplit/>
        </w:trPr>
        <w:tc>
          <w:tcPr>
            <w:tcW w:w="1869" w:type="dxa"/>
          </w:tcPr>
          <w:p w14:paraId="2E1CEC67" w14:textId="77777777" w:rsidR="00027DEB" w:rsidRPr="003C16D3" w:rsidRDefault="00027DEB" w:rsidP="00C57C6F">
            <w:pPr>
              <w:pStyle w:val="TableSideHeading"/>
              <w:ind w:left="57" w:right="0"/>
            </w:pPr>
            <w:r w:rsidRPr="003C16D3">
              <w:rPr>
                <w:rFonts w:hint="cs"/>
                <w:sz w:val="26"/>
                <w:rtl/>
              </w:rPr>
              <w:t>תיקון סעיף 2ב</w:t>
            </w:r>
          </w:p>
        </w:tc>
        <w:tc>
          <w:tcPr>
            <w:tcW w:w="624" w:type="dxa"/>
          </w:tcPr>
          <w:p w14:paraId="26A5F17A" w14:textId="77777777" w:rsidR="00027DEB" w:rsidRPr="009F682B" w:rsidRDefault="00027DEB" w:rsidP="00C57C6F">
            <w:pPr>
              <w:pStyle w:val="TableBlock"/>
            </w:pPr>
            <w:r>
              <w:rPr>
                <w:rFonts w:hint="cs"/>
                <w:rtl/>
              </w:rPr>
              <w:t>5.</w:t>
            </w:r>
          </w:p>
        </w:tc>
        <w:tc>
          <w:tcPr>
            <w:tcW w:w="7145" w:type="dxa"/>
            <w:gridSpan w:val="7"/>
          </w:tcPr>
          <w:p w14:paraId="472DA8CA" w14:textId="77777777" w:rsidR="00027DEB" w:rsidRPr="003C16D3" w:rsidRDefault="00027DEB" w:rsidP="00C57C6F">
            <w:pPr>
              <w:pStyle w:val="TableBlock"/>
              <w:rPr>
                <w:rtl/>
              </w:rPr>
            </w:pPr>
            <w:r>
              <w:rPr>
                <w:rFonts w:hint="cs"/>
                <w:sz w:val="26"/>
                <w:rtl/>
              </w:rPr>
              <w:t>בסעיף 2ב לחוק העיקרי,</w:t>
            </w:r>
            <w:r>
              <w:rPr>
                <w:rFonts w:hint="cs"/>
                <w:rtl/>
              </w:rPr>
              <w:t xml:space="preserve"> </w:t>
            </w:r>
            <w:proofErr w:type="spellStart"/>
            <w:r>
              <w:rPr>
                <w:rFonts w:hint="cs"/>
                <w:rtl/>
              </w:rPr>
              <w:t>הסיפה</w:t>
            </w:r>
            <w:proofErr w:type="spellEnd"/>
            <w:r>
              <w:rPr>
                <w:rFonts w:hint="cs"/>
                <w:rtl/>
              </w:rPr>
              <w:t xml:space="preserve"> החל במילים "בהתאם למפורט" </w:t>
            </w:r>
            <w:r>
              <w:rPr>
                <w:rtl/>
              </w:rPr>
              <w:t>–</w:t>
            </w:r>
            <w:r>
              <w:rPr>
                <w:rFonts w:hint="cs"/>
                <w:rtl/>
              </w:rPr>
              <w:t xml:space="preserve"> תימחק.</w:t>
            </w:r>
          </w:p>
        </w:tc>
      </w:tr>
      <w:tr w:rsidR="00027DEB" w:rsidRPr="003C16D3" w14:paraId="3C3302EA" w14:textId="77777777" w:rsidTr="00C57C6F">
        <w:trPr>
          <w:cantSplit/>
        </w:trPr>
        <w:tc>
          <w:tcPr>
            <w:tcW w:w="1869" w:type="dxa"/>
          </w:tcPr>
          <w:p w14:paraId="523A305C" w14:textId="77777777" w:rsidR="00027DEB" w:rsidRPr="003C16D3" w:rsidRDefault="00027DEB" w:rsidP="00C57C6F">
            <w:pPr>
              <w:pStyle w:val="TableSideHeading"/>
              <w:ind w:left="57" w:right="0"/>
            </w:pPr>
            <w:r w:rsidRPr="003C16D3">
              <w:rPr>
                <w:rFonts w:hint="cs"/>
                <w:rtl/>
              </w:rPr>
              <w:t>הוספת סעיף 3</w:t>
            </w:r>
            <w:r>
              <w:rPr>
                <w:rFonts w:hint="cs"/>
                <w:rtl/>
              </w:rPr>
              <w:t>א</w:t>
            </w:r>
          </w:p>
        </w:tc>
        <w:tc>
          <w:tcPr>
            <w:tcW w:w="624" w:type="dxa"/>
          </w:tcPr>
          <w:p w14:paraId="1D5E0E2B" w14:textId="77777777" w:rsidR="00027DEB" w:rsidRPr="009F682B" w:rsidRDefault="00027DEB" w:rsidP="00C57C6F">
            <w:pPr>
              <w:pStyle w:val="TableBlock"/>
            </w:pPr>
            <w:r>
              <w:rPr>
                <w:rFonts w:hint="cs"/>
                <w:rtl/>
              </w:rPr>
              <w:t>6.</w:t>
            </w:r>
          </w:p>
        </w:tc>
        <w:tc>
          <w:tcPr>
            <w:tcW w:w="7145" w:type="dxa"/>
            <w:gridSpan w:val="7"/>
          </w:tcPr>
          <w:p w14:paraId="3C524BCE" w14:textId="77777777" w:rsidR="00027DEB" w:rsidRPr="003C16D3" w:rsidRDefault="00027DEB" w:rsidP="00C57C6F">
            <w:pPr>
              <w:pStyle w:val="TableBlock"/>
              <w:rPr>
                <w:rtl/>
              </w:rPr>
            </w:pPr>
            <w:r w:rsidRPr="003C16D3">
              <w:rPr>
                <w:rFonts w:hint="cs"/>
                <w:rtl/>
              </w:rPr>
              <w:t xml:space="preserve">אחרי סעיף </w:t>
            </w:r>
            <w:r>
              <w:rPr>
                <w:rFonts w:hint="cs"/>
                <w:rtl/>
              </w:rPr>
              <w:t>3</w:t>
            </w:r>
            <w:r w:rsidRPr="003C16D3">
              <w:rPr>
                <w:rFonts w:hint="cs"/>
                <w:rtl/>
              </w:rPr>
              <w:t xml:space="preserve"> לחוק העיקרי יבוא:</w:t>
            </w:r>
          </w:p>
        </w:tc>
      </w:tr>
      <w:tr w:rsidR="00027DEB" w14:paraId="2085A99A" w14:textId="77777777" w:rsidTr="00C57C6F">
        <w:trPr>
          <w:cantSplit/>
          <w:trHeight w:val="60"/>
        </w:trPr>
        <w:tc>
          <w:tcPr>
            <w:tcW w:w="1869" w:type="dxa"/>
          </w:tcPr>
          <w:p w14:paraId="0C03A620" w14:textId="77777777" w:rsidR="00027DEB" w:rsidRDefault="00027DEB" w:rsidP="00C57C6F">
            <w:pPr>
              <w:pStyle w:val="TableSideHeading"/>
              <w:keepLines w:val="0"/>
            </w:pPr>
          </w:p>
        </w:tc>
        <w:tc>
          <w:tcPr>
            <w:tcW w:w="624" w:type="dxa"/>
          </w:tcPr>
          <w:p w14:paraId="0308C84F" w14:textId="77777777" w:rsidR="00027DEB" w:rsidRDefault="00027DEB" w:rsidP="00C57C6F">
            <w:pPr>
              <w:pStyle w:val="TableText"/>
              <w:keepLines w:val="0"/>
            </w:pPr>
          </w:p>
        </w:tc>
        <w:tc>
          <w:tcPr>
            <w:tcW w:w="1872" w:type="dxa"/>
            <w:gridSpan w:val="3"/>
          </w:tcPr>
          <w:p w14:paraId="02F93866" w14:textId="77777777" w:rsidR="00027DEB" w:rsidRPr="008843D3" w:rsidRDefault="00027DEB" w:rsidP="00C57C6F">
            <w:pPr>
              <w:pStyle w:val="TableInnerSideHeading"/>
            </w:pPr>
            <w:r w:rsidRPr="007E0BD9">
              <w:rPr>
                <w:rFonts w:hint="cs"/>
                <w:rtl/>
              </w:rPr>
              <w:t>"תנאים לפי חוק רישוי עסקים</w:t>
            </w:r>
          </w:p>
        </w:tc>
        <w:tc>
          <w:tcPr>
            <w:tcW w:w="624" w:type="dxa"/>
          </w:tcPr>
          <w:p w14:paraId="2DF54F4A" w14:textId="77777777" w:rsidR="00027DEB" w:rsidRDefault="00027DEB" w:rsidP="00C57C6F">
            <w:pPr>
              <w:pStyle w:val="TableText"/>
            </w:pPr>
            <w:r>
              <w:rPr>
                <w:rFonts w:hint="cs"/>
                <w:rtl/>
              </w:rPr>
              <w:t>3א.</w:t>
            </w:r>
          </w:p>
        </w:tc>
        <w:tc>
          <w:tcPr>
            <w:tcW w:w="4649" w:type="dxa"/>
            <w:gridSpan w:val="3"/>
          </w:tcPr>
          <w:p w14:paraId="36EF9721" w14:textId="69128D70" w:rsidR="00027DEB" w:rsidRDefault="00027DEB" w:rsidP="00C57C6F">
            <w:pPr>
              <w:pStyle w:val="TableBlock"/>
            </w:pPr>
            <w:r w:rsidRPr="003C16D3">
              <w:rPr>
                <w:rFonts w:hint="cs"/>
                <w:rtl/>
              </w:rPr>
              <w:t xml:space="preserve">מחזיק של מקום ציבורי, החייב ברישיון עסק לפי חוק רישוי עסקים, </w:t>
            </w:r>
            <w:proofErr w:type="spellStart"/>
            <w:r w:rsidRPr="003C16D3">
              <w:rPr>
                <w:rFonts w:hint="cs"/>
                <w:rtl/>
              </w:rPr>
              <w:t>התשכ"ח</w:t>
            </w:r>
            <w:proofErr w:type="spellEnd"/>
            <w:r>
              <w:rPr>
                <w:rFonts w:hint="eastAsia"/>
                <w:rtl/>
              </w:rPr>
              <w:t>–</w:t>
            </w:r>
            <w:r w:rsidRPr="003C16D3">
              <w:rPr>
                <w:rFonts w:hint="cs"/>
                <w:rtl/>
              </w:rPr>
              <w:t>1968</w:t>
            </w:r>
            <w:r>
              <w:rPr>
                <w:rStyle w:val="a7"/>
                <w:rtl/>
              </w:rPr>
              <w:footnoteReference w:id="6"/>
            </w:r>
            <w:r w:rsidRPr="003C16D3">
              <w:rPr>
                <w:rFonts w:hint="cs"/>
                <w:rtl/>
              </w:rPr>
              <w:t xml:space="preserve">, </w:t>
            </w:r>
            <w:r>
              <w:rPr>
                <w:rFonts w:hint="cs"/>
                <w:rtl/>
              </w:rPr>
              <w:t>שאפשר לאדם לעשן בעסק שהוא מקום ציבורי מהמקומות המפורטים בפרטים 10, 11, 17 ו-18 לתוספת, יראו</w:t>
            </w:r>
            <w:r w:rsidRPr="003C16D3">
              <w:rPr>
                <w:rFonts w:hint="cs"/>
                <w:rtl/>
              </w:rPr>
              <w:t xml:space="preserve"> אותו כמי שלא קיים תנאי מתנאי הרישיון כאמור והוראות החוק האמור יחולו עליו, מבלי לגרוע מ</w:t>
            </w:r>
            <w:r w:rsidR="00C57C6F">
              <w:rPr>
                <w:rFonts w:hint="cs"/>
                <w:rtl/>
              </w:rPr>
              <w:t>ה</w:t>
            </w:r>
            <w:r w:rsidRPr="003C16D3">
              <w:rPr>
                <w:rFonts w:hint="cs"/>
                <w:rtl/>
              </w:rPr>
              <w:t>הוראות לפי חוק זה."</w:t>
            </w:r>
          </w:p>
        </w:tc>
      </w:tr>
      <w:tr w:rsidR="00027DEB" w:rsidRPr="003C16D3" w14:paraId="0D4FEE6F" w14:textId="77777777" w:rsidTr="00C57C6F">
        <w:trPr>
          <w:cantSplit/>
        </w:trPr>
        <w:tc>
          <w:tcPr>
            <w:tcW w:w="1869" w:type="dxa"/>
          </w:tcPr>
          <w:p w14:paraId="42C83FE7" w14:textId="77777777" w:rsidR="00027DEB" w:rsidRPr="003C16D3" w:rsidRDefault="00027DEB" w:rsidP="00C57C6F">
            <w:pPr>
              <w:pStyle w:val="TableSideHeading"/>
              <w:ind w:left="57" w:right="0"/>
              <w:rPr>
                <w:sz w:val="26"/>
                <w:rtl/>
              </w:rPr>
            </w:pPr>
            <w:r>
              <w:rPr>
                <w:rFonts w:hint="cs"/>
                <w:sz w:val="26"/>
                <w:rtl/>
              </w:rPr>
              <w:t xml:space="preserve">החלפת </w:t>
            </w:r>
            <w:r w:rsidRPr="003C16D3">
              <w:rPr>
                <w:rFonts w:hint="cs"/>
                <w:sz w:val="26"/>
                <w:rtl/>
              </w:rPr>
              <w:t>סעיף 4</w:t>
            </w:r>
          </w:p>
        </w:tc>
        <w:tc>
          <w:tcPr>
            <w:tcW w:w="624" w:type="dxa"/>
          </w:tcPr>
          <w:p w14:paraId="17485B49" w14:textId="77777777" w:rsidR="00027DEB" w:rsidRPr="0046280E" w:rsidRDefault="00027DEB" w:rsidP="00C57C6F">
            <w:pPr>
              <w:pStyle w:val="TableBlock"/>
              <w:rPr>
                <w:rtl/>
              </w:rPr>
            </w:pPr>
            <w:r>
              <w:rPr>
                <w:rFonts w:hint="cs"/>
                <w:rtl/>
              </w:rPr>
              <w:t>7.</w:t>
            </w:r>
          </w:p>
        </w:tc>
        <w:tc>
          <w:tcPr>
            <w:tcW w:w="7145" w:type="dxa"/>
            <w:gridSpan w:val="7"/>
          </w:tcPr>
          <w:p w14:paraId="4DE2B53E" w14:textId="77777777" w:rsidR="00027DEB" w:rsidRPr="003C16D3" w:rsidRDefault="00027DEB" w:rsidP="00C57C6F">
            <w:pPr>
              <w:pStyle w:val="TableBlock"/>
              <w:rPr>
                <w:sz w:val="26"/>
                <w:rtl/>
              </w:rPr>
            </w:pPr>
            <w:r>
              <w:rPr>
                <w:rFonts w:hint="cs"/>
                <w:sz w:val="26"/>
                <w:rtl/>
              </w:rPr>
              <w:t>במקום סעיף</w:t>
            </w:r>
            <w:r w:rsidRPr="003C16D3">
              <w:rPr>
                <w:rFonts w:hint="cs"/>
                <w:sz w:val="26"/>
                <w:rtl/>
              </w:rPr>
              <w:t xml:space="preserve"> 4 לחוק העיקרי</w:t>
            </w:r>
            <w:r>
              <w:rPr>
                <w:rFonts w:hint="cs"/>
                <w:sz w:val="26"/>
                <w:rtl/>
              </w:rPr>
              <w:t xml:space="preserve"> יבוא:</w:t>
            </w:r>
          </w:p>
        </w:tc>
      </w:tr>
      <w:tr w:rsidR="00027DEB" w14:paraId="551BD104" w14:textId="77777777" w:rsidTr="00C57C6F">
        <w:trPr>
          <w:cantSplit/>
          <w:trHeight w:val="60"/>
        </w:trPr>
        <w:tc>
          <w:tcPr>
            <w:tcW w:w="1869" w:type="dxa"/>
          </w:tcPr>
          <w:p w14:paraId="4E7AC2CF" w14:textId="77777777" w:rsidR="00027DEB" w:rsidRDefault="00027DEB" w:rsidP="00C57C6F">
            <w:pPr>
              <w:pStyle w:val="TableSideHeading"/>
              <w:keepLines w:val="0"/>
            </w:pPr>
            <w:r>
              <w:rPr>
                <w:rFonts w:hint="cs"/>
                <w:highlight w:val="yellow"/>
                <w:rtl/>
              </w:rPr>
              <w:lastRenderedPageBreak/>
              <w:t xml:space="preserve">                                                                                                                                                                                                                                                                                                                                                                                                                                                                                                                                                            </w:t>
            </w:r>
          </w:p>
        </w:tc>
        <w:tc>
          <w:tcPr>
            <w:tcW w:w="624" w:type="dxa"/>
          </w:tcPr>
          <w:p w14:paraId="569058AA" w14:textId="77777777" w:rsidR="00027DEB" w:rsidRDefault="00027DEB" w:rsidP="00C57C6F">
            <w:pPr>
              <w:pStyle w:val="TableText"/>
              <w:keepLines w:val="0"/>
            </w:pPr>
          </w:p>
        </w:tc>
        <w:tc>
          <w:tcPr>
            <w:tcW w:w="1872" w:type="dxa"/>
            <w:gridSpan w:val="3"/>
          </w:tcPr>
          <w:p w14:paraId="7AA646F3" w14:textId="77777777" w:rsidR="00027DEB" w:rsidRDefault="00027DEB" w:rsidP="00C57C6F">
            <w:pPr>
              <w:pStyle w:val="TableInnerSideHeading"/>
            </w:pPr>
            <w:r>
              <w:rPr>
                <w:rFonts w:hint="cs"/>
                <w:rtl/>
              </w:rPr>
              <w:t>"עונשין</w:t>
            </w:r>
          </w:p>
        </w:tc>
        <w:tc>
          <w:tcPr>
            <w:tcW w:w="624" w:type="dxa"/>
          </w:tcPr>
          <w:p w14:paraId="57FCC645" w14:textId="77777777" w:rsidR="00027DEB" w:rsidRDefault="00027DEB" w:rsidP="00C57C6F">
            <w:pPr>
              <w:pStyle w:val="TableText"/>
            </w:pPr>
            <w:r>
              <w:rPr>
                <w:rFonts w:hint="cs"/>
                <w:rtl/>
              </w:rPr>
              <w:t>4.</w:t>
            </w:r>
          </w:p>
        </w:tc>
        <w:tc>
          <w:tcPr>
            <w:tcW w:w="4649" w:type="dxa"/>
            <w:gridSpan w:val="3"/>
          </w:tcPr>
          <w:p w14:paraId="174F37C9" w14:textId="77777777" w:rsidR="00027DEB" w:rsidRDefault="00027DEB" w:rsidP="00C57C6F">
            <w:pPr>
              <w:pStyle w:val="TableBlock"/>
            </w:pPr>
            <w:r>
              <w:rPr>
                <w:rFonts w:hint="cs"/>
                <w:rtl/>
              </w:rPr>
              <w:t>(א)</w:t>
            </w:r>
            <w:r>
              <w:rPr>
                <w:rtl/>
              </w:rPr>
              <w:tab/>
            </w:r>
            <w:r w:rsidRPr="003C16D3">
              <w:rPr>
                <w:rFonts w:hint="cs"/>
                <w:rtl/>
              </w:rPr>
              <w:t xml:space="preserve">העובר </w:t>
            </w:r>
            <w:r>
              <w:rPr>
                <w:rFonts w:hint="cs"/>
                <w:rtl/>
              </w:rPr>
              <w:t>על הוראות סעיפים</w:t>
            </w:r>
            <w:r w:rsidRPr="003C16D3">
              <w:rPr>
                <w:rFonts w:hint="cs"/>
                <w:rtl/>
              </w:rPr>
              <w:t xml:space="preserve"> 1 או 5</w:t>
            </w:r>
            <w:r>
              <w:rPr>
                <w:rFonts w:hint="cs"/>
                <w:rtl/>
              </w:rPr>
              <w:t>,</w:t>
            </w:r>
            <w:r w:rsidRPr="003C16D3">
              <w:rPr>
                <w:rFonts w:hint="cs"/>
                <w:rtl/>
              </w:rPr>
              <w:t xml:space="preserve"> דינו</w:t>
            </w:r>
            <w:r>
              <w:rPr>
                <w:rFonts w:hint="cs"/>
                <w:rtl/>
              </w:rPr>
              <w:t xml:space="preserve"> </w:t>
            </w:r>
            <w:r>
              <w:rPr>
                <w:rFonts w:hint="eastAsia"/>
                <w:rtl/>
              </w:rPr>
              <w:t>–</w:t>
            </w:r>
            <w:r>
              <w:rPr>
                <w:rFonts w:hint="cs"/>
                <w:rtl/>
              </w:rPr>
              <w:t xml:space="preserve"> </w:t>
            </w:r>
            <w:r w:rsidRPr="003C16D3">
              <w:rPr>
                <w:rFonts w:hint="cs"/>
                <w:rtl/>
              </w:rPr>
              <w:t xml:space="preserve">בעבירה בפעם הראשונה </w:t>
            </w:r>
            <w:r w:rsidRPr="003C16D3">
              <w:rPr>
                <w:rtl/>
              </w:rPr>
              <w:t>–</w:t>
            </w:r>
            <w:r w:rsidRPr="003C16D3">
              <w:rPr>
                <w:rFonts w:hint="cs"/>
                <w:rtl/>
              </w:rPr>
              <w:t xml:space="preserve"> מאסר שנה או קנס כאמור בסעיף 61(א)(2) </w:t>
            </w:r>
            <w:r w:rsidRPr="00F66607">
              <w:rPr>
                <w:rFonts w:hint="cs"/>
                <w:rtl/>
              </w:rPr>
              <w:t>לחוק העונשין</w:t>
            </w:r>
            <w:r w:rsidRPr="003C16D3">
              <w:rPr>
                <w:rFonts w:hint="cs"/>
                <w:rtl/>
              </w:rPr>
              <w:t xml:space="preserve">, בעבירה בפעם השנייה בתוך שנתיים </w:t>
            </w:r>
            <w:r w:rsidRPr="003C16D3">
              <w:rPr>
                <w:rtl/>
              </w:rPr>
              <w:t>–</w:t>
            </w:r>
            <w:r w:rsidRPr="003C16D3">
              <w:rPr>
                <w:rFonts w:hint="cs"/>
                <w:rtl/>
              </w:rPr>
              <w:t xml:space="preserve"> מאסר שנה או כפל הקנס האמור, ובעבירה בפעם השלישית ואילך בתוך שנתיים </w:t>
            </w:r>
            <w:r w:rsidRPr="003C16D3">
              <w:rPr>
                <w:rtl/>
              </w:rPr>
              <w:t>–</w:t>
            </w:r>
            <w:r w:rsidRPr="003C16D3">
              <w:rPr>
                <w:rFonts w:hint="cs"/>
                <w:rtl/>
              </w:rPr>
              <w:t xml:space="preserve"> מאס</w:t>
            </w:r>
            <w:r>
              <w:rPr>
                <w:rFonts w:hint="cs"/>
                <w:rtl/>
              </w:rPr>
              <w:t>ר שנה או שלוש פעמים הקנס האמור.</w:t>
            </w:r>
          </w:p>
        </w:tc>
      </w:tr>
      <w:tr w:rsidR="00027DEB" w14:paraId="351F59CB" w14:textId="77777777" w:rsidTr="00C57C6F">
        <w:trPr>
          <w:cantSplit/>
          <w:trHeight w:val="60"/>
        </w:trPr>
        <w:tc>
          <w:tcPr>
            <w:tcW w:w="1869" w:type="dxa"/>
          </w:tcPr>
          <w:p w14:paraId="272E6CBB" w14:textId="77777777" w:rsidR="00027DEB" w:rsidRDefault="00027DEB" w:rsidP="00C57C6F">
            <w:pPr>
              <w:pStyle w:val="TableSideHeading"/>
            </w:pPr>
          </w:p>
        </w:tc>
        <w:tc>
          <w:tcPr>
            <w:tcW w:w="624" w:type="dxa"/>
          </w:tcPr>
          <w:p w14:paraId="3B0E1973" w14:textId="77777777" w:rsidR="00027DEB" w:rsidRDefault="00027DEB" w:rsidP="00C57C6F">
            <w:pPr>
              <w:pStyle w:val="TableText"/>
            </w:pPr>
          </w:p>
        </w:tc>
        <w:tc>
          <w:tcPr>
            <w:tcW w:w="624" w:type="dxa"/>
          </w:tcPr>
          <w:p w14:paraId="26F3309D" w14:textId="77777777" w:rsidR="00027DEB" w:rsidRDefault="00027DEB" w:rsidP="00C57C6F">
            <w:pPr>
              <w:pStyle w:val="TableText"/>
            </w:pPr>
          </w:p>
        </w:tc>
        <w:tc>
          <w:tcPr>
            <w:tcW w:w="624" w:type="dxa"/>
          </w:tcPr>
          <w:p w14:paraId="5A9CB6B9" w14:textId="77777777" w:rsidR="00027DEB" w:rsidRDefault="00027DEB" w:rsidP="00C57C6F">
            <w:pPr>
              <w:pStyle w:val="TableText"/>
            </w:pPr>
          </w:p>
        </w:tc>
        <w:tc>
          <w:tcPr>
            <w:tcW w:w="624" w:type="dxa"/>
          </w:tcPr>
          <w:p w14:paraId="491AC02E" w14:textId="77777777" w:rsidR="00027DEB" w:rsidRDefault="00027DEB" w:rsidP="00C57C6F">
            <w:pPr>
              <w:pStyle w:val="TableText"/>
            </w:pPr>
          </w:p>
        </w:tc>
        <w:tc>
          <w:tcPr>
            <w:tcW w:w="624" w:type="dxa"/>
          </w:tcPr>
          <w:p w14:paraId="224B90E9" w14:textId="77777777" w:rsidR="00027DEB" w:rsidRDefault="00027DEB" w:rsidP="00C57C6F">
            <w:pPr>
              <w:pStyle w:val="TableText"/>
            </w:pPr>
          </w:p>
        </w:tc>
        <w:tc>
          <w:tcPr>
            <w:tcW w:w="4649" w:type="dxa"/>
            <w:gridSpan w:val="3"/>
          </w:tcPr>
          <w:p w14:paraId="4802F936" w14:textId="77777777" w:rsidR="00027DEB" w:rsidRDefault="00027DEB" w:rsidP="00C57C6F">
            <w:pPr>
              <w:pStyle w:val="TableBlock"/>
            </w:pPr>
            <w:r>
              <w:rPr>
                <w:rFonts w:hint="cs"/>
                <w:rtl/>
              </w:rPr>
              <w:t>(ב)</w:t>
            </w:r>
            <w:r>
              <w:rPr>
                <w:rtl/>
              </w:rPr>
              <w:tab/>
            </w:r>
            <w:r w:rsidRPr="003C16D3">
              <w:rPr>
                <w:rFonts w:hint="cs"/>
                <w:rtl/>
              </w:rPr>
              <w:t>העובר על הוראות סעי</w:t>
            </w:r>
            <w:r>
              <w:rPr>
                <w:rFonts w:hint="cs"/>
                <w:rtl/>
              </w:rPr>
              <w:t>פים</w:t>
            </w:r>
            <w:r w:rsidRPr="003C16D3">
              <w:rPr>
                <w:rFonts w:hint="cs"/>
                <w:rtl/>
              </w:rPr>
              <w:t xml:space="preserve"> 2, 2א או 2ב דינו</w:t>
            </w:r>
            <w:r>
              <w:rPr>
                <w:rFonts w:hint="cs"/>
                <w:rtl/>
              </w:rPr>
              <w:t xml:space="preserve"> </w:t>
            </w:r>
            <w:r>
              <w:rPr>
                <w:rFonts w:hint="eastAsia"/>
                <w:rtl/>
              </w:rPr>
              <w:t>–</w:t>
            </w:r>
            <w:r w:rsidRPr="003C16D3">
              <w:rPr>
                <w:rFonts w:hint="cs"/>
                <w:rtl/>
              </w:rPr>
              <w:t xml:space="preserve"> בעבירה בפעם הראשונה </w:t>
            </w:r>
            <w:r w:rsidRPr="003C16D3">
              <w:rPr>
                <w:rtl/>
              </w:rPr>
              <w:t>–</w:t>
            </w:r>
            <w:r w:rsidRPr="003C16D3">
              <w:rPr>
                <w:rFonts w:hint="cs"/>
                <w:rtl/>
              </w:rPr>
              <w:t xml:space="preserve"> קנס כאמור בסעיף 61(א)(4) לחוק העונשין, בעבירה בפעם השנייה בתוך שנתיים </w:t>
            </w:r>
            <w:r w:rsidRPr="003C16D3">
              <w:rPr>
                <w:rtl/>
              </w:rPr>
              <w:t>–</w:t>
            </w:r>
            <w:r w:rsidRPr="003C16D3">
              <w:rPr>
                <w:rFonts w:hint="cs"/>
                <w:rtl/>
              </w:rPr>
              <w:t xml:space="preserve"> כפל הקנס האמור, ובעבירה בפעם השלישית ואילך בתוך שנתיים </w:t>
            </w:r>
            <w:r w:rsidRPr="003C16D3">
              <w:rPr>
                <w:rtl/>
              </w:rPr>
              <w:t>–</w:t>
            </w:r>
            <w:r>
              <w:rPr>
                <w:rFonts w:hint="cs"/>
                <w:rtl/>
              </w:rPr>
              <w:t xml:space="preserve"> שלוש פעמים הקנס האמור.</w:t>
            </w:r>
          </w:p>
        </w:tc>
      </w:tr>
      <w:tr w:rsidR="00027DEB" w14:paraId="0996382D" w14:textId="77777777" w:rsidTr="00C57C6F">
        <w:trPr>
          <w:cantSplit/>
          <w:trHeight w:val="60"/>
        </w:trPr>
        <w:tc>
          <w:tcPr>
            <w:tcW w:w="1869" w:type="dxa"/>
          </w:tcPr>
          <w:p w14:paraId="0EC49E09" w14:textId="77777777" w:rsidR="00027DEB" w:rsidRDefault="00027DEB" w:rsidP="00C57C6F">
            <w:pPr>
              <w:pStyle w:val="TableSideHeading"/>
              <w:rPr>
                <w:rtl/>
              </w:rPr>
            </w:pPr>
          </w:p>
        </w:tc>
        <w:tc>
          <w:tcPr>
            <w:tcW w:w="624" w:type="dxa"/>
          </w:tcPr>
          <w:p w14:paraId="27EF7838" w14:textId="77777777" w:rsidR="00027DEB" w:rsidRDefault="00027DEB" w:rsidP="00C57C6F">
            <w:pPr>
              <w:pStyle w:val="TableText"/>
            </w:pPr>
          </w:p>
        </w:tc>
        <w:tc>
          <w:tcPr>
            <w:tcW w:w="624" w:type="dxa"/>
          </w:tcPr>
          <w:p w14:paraId="28E3B19F" w14:textId="77777777" w:rsidR="00027DEB" w:rsidRDefault="00027DEB" w:rsidP="00C57C6F">
            <w:pPr>
              <w:pStyle w:val="TableText"/>
            </w:pPr>
          </w:p>
        </w:tc>
        <w:tc>
          <w:tcPr>
            <w:tcW w:w="624" w:type="dxa"/>
          </w:tcPr>
          <w:p w14:paraId="4221D9DB" w14:textId="77777777" w:rsidR="00027DEB" w:rsidRDefault="00027DEB" w:rsidP="00C57C6F">
            <w:pPr>
              <w:pStyle w:val="TableText"/>
            </w:pPr>
          </w:p>
        </w:tc>
        <w:tc>
          <w:tcPr>
            <w:tcW w:w="624" w:type="dxa"/>
          </w:tcPr>
          <w:p w14:paraId="27AF9022" w14:textId="77777777" w:rsidR="00027DEB" w:rsidRDefault="00027DEB" w:rsidP="00C57C6F">
            <w:pPr>
              <w:pStyle w:val="TableText"/>
            </w:pPr>
          </w:p>
        </w:tc>
        <w:tc>
          <w:tcPr>
            <w:tcW w:w="624" w:type="dxa"/>
          </w:tcPr>
          <w:p w14:paraId="15393F92" w14:textId="77777777" w:rsidR="00027DEB" w:rsidRDefault="00027DEB" w:rsidP="00C57C6F">
            <w:pPr>
              <w:pStyle w:val="TableText"/>
            </w:pPr>
          </w:p>
        </w:tc>
        <w:tc>
          <w:tcPr>
            <w:tcW w:w="4649" w:type="dxa"/>
            <w:gridSpan w:val="3"/>
          </w:tcPr>
          <w:p w14:paraId="50488800" w14:textId="77777777" w:rsidR="00027DEB" w:rsidRDefault="00027DEB" w:rsidP="00C57C6F">
            <w:pPr>
              <w:pStyle w:val="TableBlock"/>
              <w:rPr>
                <w:rtl/>
              </w:rPr>
            </w:pPr>
            <w:r>
              <w:rPr>
                <w:rFonts w:hint="cs"/>
                <w:sz w:val="26"/>
                <w:rtl/>
              </w:rPr>
              <w:t>(ג)</w:t>
            </w:r>
            <w:r>
              <w:rPr>
                <w:sz w:val="26"/>
                <w:rtl/>
              </w:rPr>
              <w:tab/>
            </w:r>
            <w:r w:rsidRPr="00BD4E18">
              <w:rPr>
                <w:sz w:val="26"/>
                <w:rtl/>
              </w:rPr>
              <w:t xml:space="preserve">עבירה לפי </w:t>
            </w:r>
            <w:r>
              <w:rPr>
                <w:rFonts w:hint="cs"/>
                <w:sz w:val="26"/>
                <w:rtl/>
              </w:rPr>
              <w:t>סעיפים 2, 2א ו-2ב לחוק זה</w:t>
            </w:r>
            <w:r w:rsidRPr="00BD4E18">
              <w:rPr>
                <w:sz w:val="26"/>
                <w:rtl/>
              </w:rPr>
              <w:t xml:space="preserve"> היא</w:t>
            </w:r>
            <w:r>
              <w:rPr>
                <w:rFonts w:hint="cs"/>
                <w:sz w:val="26"/>
                <w:rtl/>
              </w:rPr>
              <w:t xml:space="preserve"> עבירה </w:t>
            </w:r>
            <w:r w:rsidRPr="00BD4E18">
              <w:rPr>
                <w:sz w:val="26"/>
                <w:rtl/>
              </w:rPr>
              <w:t>מסוג אחריות קפידה.</w:t>
            </w:r>
            <w:r w:rsidRPr="00BD4E18">
              <w:rPr>
                <w:rFonts w:hint="cs"/>
                <w:sz w:val="26"/>
                <w:rtl/>
              </w:rPr>
              <w:t>"</w:t>
            </w:r>
          </w:p>
        </w:tc>
      </w:tr>
      <w:tr w:rsidR="00027DEB" w:rsidRPr="003C16D3" w14:paraId="5FD109A0" w14:textId="77777777" w:rsidTr="00C57C6F">
        <w:trPr>
          <w:cantSplit/>
        </w:trPr>
        <w:tc>
          <w:tcPr>
            <w:tcW w:w="1869" w:type="dxa"/>
          </w:tcPr>
          <w:p w14:paraId="62F5D775" w14:textId="77777777" w:rsidR="00027DEB" w:rsidRPr="003C16D3" w:rsidRDefault="00027DEB" w:rsidP="00C57C6F">
            <w:pPr>
              <w:pStyle w:val="TableSideHeading"/>
              <w:ind w:left="57" w:right="0"/>
              <w:rPr>
                <w:sz w:val="26"/>
                <w:rtl/>
              </w:rPr>
            </w:pPr>
            <w:r w:rsidRPr="003C16D3">
              <w:rPr>
                <w:rFonts w:hint="cs"/>
                <w:sz w:val="26"/>
                <w:rtl/>
              </w:rPr>
              <w:t xml:space="preserve">הוספת </w:t>
            </w:r>
            <w:r>
              <w:rPr>
                <w:rFonts w:hint="cs"/>
                <w:sz w:val="26"/>
                <w:rtl/>
              </w:rPr>
              <w:t>סעיפים 4א עד 4ד</w:t>
            </w:r>
          </w:p>
        </w:tc>
        <w:tc>
          <w:tcPr>
            <w:tcW w:w="624" w:type="dxa"/>
          </w:tcPr>
          <w:p w14:paraId="0C579DCA" w14:textId="77777777" w:rsidR="00027DEB" w:rsidRPr="0046280E" w:rsidRDefault="00027DEB" w:rsidP="00C57C6F">
            <w:pPr>
              <w:pStyle w:val="TableBlock"/>
              <w:rPr>
                <w:rtl/>
              </w:rPr>
            </w:pPr>
            <w:r>
              <w:rPr>
                <w:rFonts w:hint="cs"/>
                <w:rtl/>
              </w:rPr>
              <w:t>8.</w:t>
            </w:r>
          </w:p>
        </w:tc>
        <w:tc>
          <w:tcPr>
            <w:tcW w:w="7145" w:type="dxa"/>
            <w:gridSpan w:val="7"/>
          </w:tcPr>
          <w:p w14:paraId="184D12A5" w14:textId="77777777" w:rsidR="00027DEB" w:rsidRPr="003C16D3" w:rsidRDefault="00027DEB" w:rsidP="00C57C6F">
            <w:pPr>
              <w:pStyle w:val="TableBlock"/>
              <w:rPr>
                <w:sz w:val="26"/>
                <w:rtl/>
              </w:rPr>
            </w:pPr>
            <w:r w:rsidRPr="003C16D3">
              <w:rPr>
                <w:rFonts w:hint="cs"/>
                <w:sz w:val="26"/>
                <w:rtl/>
              </w:rPr>
              <w:t>אחרי סעיף 4 לחוק העיקרי יבוא</w:t>
            </w:r>
            <w:r>
              <w:rPr>
                <w:rFonts w:hint="cs"/>
                <w:sz w:val="26"/>
                <w:rtl/>
              </w:rPr>
              <w:t>:</w:t>
            </w:r>
          </w:p>
        </w:tc>
      </w:tr>
      <w:tr w:rsidR="00027DEB" w14:paraId="738B873A" w14:textId="77777777" w:rsidTr="00C57C6F">
        <w:trPr>
          <w:cantSplit/>
          <w:trHeight w:val="60"/>
        </w:trPr>
        <w:tc>
          <w:tcPr>
            <w:tcW w:w="1869" w:type="dxa"/>
          </w:tcPr>
          <w:p w14:paraId="716B161D" w14:textId="77777777" w:rsidR="00027DEB" w:rsidRDefault="00027DEB" w:rsidP="00C57C6F">
            <w:pPr>
              <w:pStyle w:val="TableSideHeading"/>
              <w:keepLines w:val="0"/>
            </w:pPr>
          </w:p>
        </w:tc>
        <w:tc>
          <w:tcPr>
            <w:tcW w:w="624" w:type="dxa"/>
          </w:tcPr>
          <w:p w14:paraId="343C5251" w14:textId="77777777" w:rsidR="00027DEB" w:rsidRDefault="00027DEB" w:rsidP="00C57C6F">
            <w:pPr>
              <w:pStyle w:val="TableText"/>
              <w:keepLines w:val="0"/>
            </w:pPr>
          </w:p>
        </w:tc>
        <w:tc>
          <w:tcPr>
            <w:tcW w:w="1872" w:type="dxa"/>
            <w:gridSpan w:val="3"/>
          </w:tcPr>
          <w:p w14:paraId="092EC9F7" w14:textId="77777777" w:rsidR="00027DEB" w:rsidRDefault="00027DEB" w:rsidP="00C57C6F">
            <w:pPr>
              <w:pStyle w:val="TableInnerSideHeading"/>
            </w:pPr>
            <w:r w:rsidRPr="007E0BD9">
              <w:rPr>
                <w:rFonts w:hint="cs"/>
                <w:rtl/>
              </w:rPr>
              <w:t xml:space="preserve">"עבירת קנס </w:t>
            </w:r>
          </w:p>
        </w:tc>
        <w:tc>
          <w:tcPr>
            <w:tcW w:w="624" w:type="dxa"/>
          </w:tcPr>
          <w:p w14:paraId="6306C8B8" w14:textId="77777777" w:rsidR="00027DEB" w:rsidRDefault="00027DEB" w:rsidP="00C57C6F">
            <w:pPr>
              <w:pStyle w:val="TableText"/>
            </w:pPr>
            <w:r w:rsidRPr="007E0BD9">
              <w:rPr>
                <w:rFonts w:hint="cs"/>
                <w:rtl/>
              </w:rPr>
              <w:t>4א.</w:t>
            </w:r>
          </w:p>
        </w:tc>
        <w:tc>
          <w:tcPr>
            <w:tcW w:w="4649" w:type="dxa"/>
            <w:gridSpan w:val="3"/>
          </w:tcPr>
          <w:p w14:paraId="164F1955" w14:textId="77777777" w:rsidR="00027DEB" w:rsidRDefault="00027DEB" w:rsidP="00C57C6F">
            <w:pPr>
              <w:pStyle w:val="TableBlock"/>
            </w:pPr>
            <w:r w:rsidRPr="003C16D3">
              <w:rPr>
                <w:rtl/>
              </w:rPr>
              <w:t>היה ל</w:t>
            </w:r>
            <w:r w:rsidRPr="003C16D3">
              <w:rPr>
                <w:rFonts w:hint="cs"/>
                <w:rtl/>
              </w:rPr>
              <w:t>שוטר או ל</w:t>
            </w:r>
            <w:r w:rsidRPr="003C16D3">
              <w:rPr>
                <w:rtl/>
              </w:rPr>
              <w:t xml:space="preserve">מפקח יסוד להניח כי אדם עבר עבירה לפי </w:t>
            </w:r>
            <w:r w:rsidRPr="003C16D3">
              <w:rPr>
                <w:rFonts w:hint="cs"/>
                <w:rtl/>
              </w:rPr>
              <w:t>חוק זה בפעם הראשונה או השנייה בתוך שנתיים,</w:t>
            </w:r>
            <w:r w:rsidRPr="003C16D3">
              <w:rPr>
                <w:rtl/>
              </w:rPr>
              <w:t xml:space="preserve"> </w:t>
            </w:r>
            <w:r w:rsidRPr="003C16D3">
              <w:rPr>
                <w:rFonts w:hint="cs"/>
                <w:rtl/>
              </w:rPr>
              <w:t>תימסר</w:t>
            </w:r>
            <w:r w:rsidRPr="003C16D3">
              <w:rPr>
                <w:rtl/>
              </w:rPr>
              <w:t xml:space="preserve"> ל</w:t>
            </w:r>
            <w:r w:rsidRPr="003C16D3">
              <w:rPr>
                <w:rFonts w:hint="cs"/>
                <w:rtl/>
              </w:rPr>
              <w:t>ו</w:t>
            </w:r>
            <w:r w:rsidRPr="003C16D3">
              <w:rPr>
                <w:rtl/>
              </w:rPr>
              <w:t xml:space="preserve"> </w:t>
            </w:r>
            <w:r w:rsidRPr="003C16D3">
              <w:rPr>
                <w:rFonts w:hint="cs"/>
                <w:rtl/>
              </w:rPr>
              <w:t xml:space="preserve">הודעת תשלום קנס לפי סעיף 228(ב) </w:t>
            </w:r>
            <w:r w:rsidRPr="003C16D3">
              <w:rPr>
                <w:rtl/>
              </w:rPr>
              <w:t>לחוק סדר הדין הפלילי;</w:t>
            </w:r>
            <w:r w:rsidRPr="003C16D3">
              <w:rPr>
                <w:rFonts w:hint="cs"/>
                <w:rtl/>
              </w:rPr>
              <w:t xml:space="preserve"> היה לשוטר או למפקח יסוד להניח כי אדם עבר עבירה בפעם השלישית ואילך בתוך שנתיים, </w:t>
            </w:r>
            <w:r w:rsidRPr="00D31F27">
              <w:rPr>
                <w:rtl/>
              </w:rPr>
              <w:t xml:space="preserve">יוגש נגדו </w:t>
            </w:r>
            <w:r w:rsidRPr="00D31F27">
              <w:rPr>
                <w:rFonts w:hint="cs"/>
                <w:rtl/>
              </w:rPr>
              <w:t xml:space="preserve">כתב </w:t>
            </w:r>
            <w:r w:rsidRPr="00D31F27">
              <w:rPr>
                <w:rtl/>
              </w:rPr>
              <w:t>אישום ותימסר לו הזמנה למשפט לפי חוק סדר הדין הפלילי</w:t>
            </w:r>
            <w:r w:rsidRPr="00D31F27">
              <w:rPr>
                <w:rFonts w:hint="cs"/>
                <w:rtl/>
              </w:rPr>
              <w:t>.</w:t>
            </w:r>
          </w:p>
        </w:tc>
      </w:tr>
      <w:tr w:rsidR="00027DEB" w14:paraId="28BB995D" w14:textId="77777777" w:rsidTr="00C57C6F">
        <w:trPr>
          <w:cantSplit/>
          <w:trHeight w:val="60"/>
        </w:trPr>
        <w:tc>
          <w:tcPr>
            <w:tcW w:w="1869" w:type="dxa"/>
          </w:tcPr>
          <w:p w14:paraId="4ACFA27F" w14:textId="77777777" w:rsidR="00027DEB" w:rsidRDefault="00027DEB" w:rsidP="00C57C6F">
            <w:pPr>
              <w:pStyle w:val="TableSideHeading"/>
              <w:keepLines w:val="0"/>
            </w:pPr>
          </w:p>
        </w:tc>
        <w:tc>
          <w:tcPr>
            <w:tcW w:w="624" w:type="dxa"/>
          </w:tcPr>
          <w:p w14:paraId="1A99C7AB" w14:textId="77777777" w:rsidR="00027DEB" w:rsidRDefault="00027DEB" w:rsidP="00C57C6F">
            <w:pPr>
              <w:pStyle w:val="TableText"/>
              <w:keepLines w:val="0"/>
            </w:pPr>
          </w:p>
        </w:tc>
        <w:tc>
          <w:tcPr>
            <w:tcW w:w="1872" w:type="dxa"/>
            <w:gridSpan w:val="3"/>
          </w:tcPr>
          <w:p w14:paraId="188DA352" w14:textId="77777777" w:rsidR="00027DEB" w:rsidRDefault="00027DEB" w:rsidP="00C57C6F">
            <w:pPr>
              <w:pStyle w:val="TableInnerSideHeading"/>
            </w:pPr>
            <w:r w:rsidRPr="007E0BD9">
              <w:rPr>
                <w:rFonts w:hint="cs"/>
                <w:rtl/>
              </w:rPr>
              <w:t xml:space="preserve">צו הפסקה </w:t>
            </w:r>
            <w:proofErr w:type="spellStart"/>
            <w:r w:rsidRPr="007E0BD9">
              <w:rPr>
                <w:rFonts w:hint="cs"/>
                <w:rtl/>
              </w:rPr>
              <w:t>מינהלי</w:t>
            </w:r>
            <w:proofErr w:type="spellEnd"/>
          </w:p>
        </w:tc>
        <w:tc>
          <w:tcPr>
            <w:tcW w:w="624" w:type="dxa"/>
          </w:tcPr>
          <w:p w14:paraId="0CBF3D1C" w14:textId="77777777" w:rsidR="00027DEB" w:rsidRDefault="00027DEB" w:rsidP="00C57C6F">
            <w:pPr>
              <w:pStyle w:val="TableText"/>
            </w:pPr>
            <w:r>
              <w:rPr>
                <w:rFonts w:hint="cs"/>
                <w:rtl/>
              </w:rPr>
              <w:t>4ב.</w:t>
            </w:r>
          </w:p>
        </w:tc>
        <w:tc>
          <w:tcPr>
            <w:tcW w:w="4649" w:type="dxa"/>
            <w:gridSpan w:val="3"/>
          </w:tcPr>
          <w:p w14:paraId="1F98171E" w14:textId="77777777" w:rsidR="00027DEB" w:rsidRDefault="00027DEB" w:rsidP="00C57C6F">
            <w:pPr>
              <w:pStyle w:val="TableBlock"/>
            </w:pPr>
            <w:r>
              <w:rPr>
                <w:rFonts w:hint="cs"/>
                <w:rtl/>
              </w:rPr>
              <w:t>(א)</w:t>
            </w:r>
            <w:r>
              <w:rPr>
                <w:rtl/>
              </w:rPr>
              <w:tab/>
            </w:r>
            <w:r w:rsidRPr="003C16D3">
              <w:rPr>
                <w:rFonts w:hint="cs"/>
                <w:color w:val="auto"/>
                <w:sz w:val="26"/>
                <w:rtl/>
              </w:rPr>
              <w:t>היה ל</w:t>
            </w:r>
            <w:r w:rsidRPr="003C16D3">
              <w:rPr>
                <w:color w:val="auto"/>
                <w:sz w:val="26"/>
                <w:rtl/>
              </w:rPr>
              <w:t>קצין משטרה בדרגת רב-פקד ומעלה</w:t>
            </w:r>
            <w:r w:rsidRPr="003C16D3">
              <w:rPr>
                <w:rFonts w:hint="cs"/>
                <w:color w:val="auto"/>
                <w:sz w:val="26"/>
                <w:rtl/>
              </w:rPr>
              <w:t xml:space="preserve">, ליועץ המשפטי למשרד הבריאות או לראש רשות מקומית </w:t>
            </w:r>
            <w:r w:rsidRPr="003C16D3">
              <w:rPr>
                <w:color w:val="auto"/>
                <w:sz w:val="26"/>
                <w:rtl/>
              </w:rPr>
              <w:t>יסוד סביר להניח שנעברה ב</w:t>
            </w:r>
            <w:r w:rsidRPr="003C16D3">
              <w:rPr>
                <w:rFonts w:hint="cs"/>
                <w:color w:val="auto"/>
                <w:sz w:val="26"/>
                <w:rtl/>
              </w:rPr>
              <w:t>עסק שהוא מקום ציבורי מהמקומות המפורטים בפרטים 10, 11, 17 ו-18 לתוספת הראשונה,</w:t>
            </w:r>
            <w:r w:rsidRPr="003C16D3">
              <w:rPr>
                <w:color w:val="auto"/>
                <w:sz w:val="26"/>
                <w:rtl/>
              </w:rPr>
              <w:t xml:space="preserve"> עבירה לפי סעיף </w:t>
            </w:r>
            <w:r w:rsidRPr="003C16D3">
              <w:rPr>
                <w:rFonts w:hint="cs"/>
                <w:color w:val="auto"/>
                <w:sz w:val="26"/>
                <w:rtl/>
              </w:rPr>
              <w:t>2א בפעם השנייה ואילך בתוך שנתיים</w:t>
            </w:r>
            <w:r w:rsidRPr="003C16D3">
              <w:rPr>
                <w:color w:val="auto"/>
                <w:sz w:val="26"/>
                <w:rtl/>
              </w:rPr>
              <w:t xml:space="preserve">, רשאי הוא לצוות בכתב על הפסקה ארעית של העיסוק בעסק, אם בסגירת </w:t>
            </w:r>
            <w:proofErr w:type="spellStart"/>
            <w:r w:rsidRPr="003C16D3">
              <w:rPr>
                <w:color w:val="auto"/>
                <w:sz w:val="26"/>
                <w:rtl/>
              </w:rPr>
              <w:t>החצרים</w:t>
            </w:r>
            <w:proofErr w:type="spellEnd"/>
            <w:r w:rsidRPr="003C16D3">
              <w:rPr>
                <w:color w:val="auto"/>
                <w:sz w:val="26"/>
                <w:rtl/>
              </w:rPr>
              <w:t xml:space="preserve"> ואם בכל דרך אחרת הנראית לו מתאימה בנסיבות </w:t>
            </w:r>
            <w:proofErr w:type="spellStart"/>
            <w:r w:rsidRPr="003C16D3">
              <w:rPr>
                <w:color w:val="auto"/>
                <w:sz w:val="26"/>
                <w:rtl/>
              </w:rPr>
              <w:t>הענין</w:t>
            </w:r>
            <w:proofErr w:type="spellEnd"/>
            <w:r w:rsidRPr="003C16D3">
              <w:rPr>
                <w:color w:val="auto"/>
                <w:sz w:val="26"/>
                <w:rtl/>
              </w:rPr>
              <w:t xml:space="preserve"> כדי להביא לידי הפסקה של ממש בעיסוק (להלן – צו הפסקה </w:t>
            </w:r>
            <w:proofErr w:type="spellStart"/>
            <w:r w:rsidRPr="003C16D3">
              <w:rPr>
                <w:color w:val="auto"/>
                <w:sz w:val="26"/>
                <w:rtl/>
              </w:rPr>
              <w:t>מינהלי</w:t>
            </w:r>
            <w:proofErr w:type="spellEnd"/>
            <w:r w:rsidRPr="003C16D3">
              <w:rPr>
                <w:color w:val="auto"/>
                <w:sz w:val="26"/>
                <w:rtl/>
              </w:rPr>
              <w:t>)</w:t>
            </w:r>
            <w:r w:rsidRPr="003C16D3">
              <w:rPr>
                <w:rFonts w:hint="cs"/>
                <w:color w:val="auto"/>
                <w:rtl/>
              </w:rPr>
              <w:t>.</w:t>
            </w:r>
          </w:p>
        </w:tc>
      </w:tr>
      <w:tr w:rsidR="00027DEB" w14:paraId="4BB74D74" w14:textId="77777777" w:rsidTr="00C57C6F">
        <w:trPr>
          <w:cantSplit/>
          <w:trHeight w:val="60"/>
        </w:trPr>
        <w:tc>
          <w:tcPr>
            <w:tcW w:w="1869" w:type="dxa"/>
          </w:tcPr>
          <w:p w14:paraId="3FF758DB" w14:textId="77777777" w:rsidR="00027DEB" w:rsidRDefault="00027DEB" w:rsidP="00C57C6F">
            <w:pPr>
              <w:pStyle w:val="TableSideHeading"/>
            </w:pPr>
          </w:p>
        </w:tc>
        <w:tc>
          <w:tcPr>
            <w:tcW w:w="624" w:type="dxa"/>
          </w:tcPr>
          <w:p w14:paraId="0F189BC2" w14:textId="77777777" w:rsidR="00027DEB" w:rsidRDefault="00027DEB" w:rsidP="00C57C6F">
            <w:pPr>
              <w:pStyle w:val="TableText"/>
            </w:pPr>
          </w:p>
        </w:tc>
        <w:tc>
          <w:tcPr>
            <w:tcW w:w="624" w:type="dxa"/>
          </w:tcPr>
          <w:p w14:paraId="3E1C1EEB" w14:textId="77777777" w:rsidR="00027DEB" w:rsidRDefault="00027DEB" w:rsidP="00C57C6F">
            <w:pPr>
              <w:pStyle w:val="TableText"/>
            </w:pPr>
          </w:p>
        </w:tc>
        <w:tc>
          <w:tcPr>
            <w:tcW w:w="624" w:type="dxa"/>
          </w:tcPr>
          <w:p w14:paraId="57DAF51C" w14:textId="77777777" w:rsidR="00027DEB" w:rsidRDefault="00027DEB" w:rsidP="00C57C6F">
            <w:pPr>
              <w:pStyle w:val="TableText"/>
            </w:pPr>
          </w:p>
        </w:tc>
        <w:tc>
          <w:tcPr>
            <w:tcW w:w="624" w:type="dxa"/>
          </w:tcPr>
          <w:p w14:paraId="05FA27EA" w14:textId="77777777" w:rsidR="00027DEB" w:rsidRDefault="00027DEB" w:rsidP="00C57C6F">
            <w:pPr>
              <w:pStyle w:val="TableText"/>
            </w:pPr>
          </w:p>
        </w:tc>
        <w:tc>
          <w:tcPr>
            <w:tcW w:w="624" w:type="dxa"/>
          </w:tcPr>
          <w:p w14:paraId="68D9EF55" w14:textId="77777777" w:rsidR="00027DEB" w:rsidRDefault="00027DEB" w:rsidP="00C57C6F">
            <w:pPr>
              <w:pStyle w:val="TableText"/>
            </w:pPr>
          </w:p>
        </w:tc>
        <w:tc>
          <w:tcPr>
            <w:tcW w:w="4649" w:type="dxa"/>
            <w:gridSpan w:val="3"/>
          </w:tcPr>
          <w:p w14:paraId="0BBF79FB" w14:textId="15607B0F" w:rsidR="00027DEB" w:rsidRDefault="00027DEB" w:rsidP="00C57C6F">
            <w:pPr>
              <w:pStyle w:val="TableBlock"/>
            </w:pPr>
            <w:r>
              <w:rPr>
                <w:rFonts w:hint="cs"/>
                <w:color w:val="auto"/>
                <w:sz w:val="26"/>
                <w:rtl/>
              </w:rPr>
              <w:t>(ב)</w:t>
            </w:r>
            <w:r>
              <w:rPr>
                <w:color w:val="auto"/>
                <w:sz w:val="26"/>
                <w:rtl/>
              </w:rPr>
              <w:tab/>
            </w:r>
            <w:r w:rsidRPr="003C16D3">
              <w:rPr>
                <w:color w:val="auto"/>
                <w:sz w:val="26"/>
                <w:rtl/>
              </w:rPr>
              <w:t>צו הפס</w:t>
            </w:r>
            <w:r w:rsidR="00C57C6F">
              <w:rPr>
                <w:color w:val="auto"/>
                <w:sz w:val="26"/>
                <w:rtl/>
              </w:rPr>
              <w:t xml:space="preserve">קה </w:t>
            </w:r>
            <w:proofErr w:type="spellStart"/>
            <w:r w:rsidR="00C57C6F">
              <w:rPr>
                <w:color w:val="auto"/>
                <w:sz w:val="26"/>
                <w:rtl/>
              </w:rPr>
              <w:t>מינהלי</w:t>
            </w:r>
            <w:proofErr w:type="spellEnd"/>
            <w:r w:rsidR="00C57C6F">
              <w:rPr>
                <w:color w:val="auto"/>
                <w:sz w:val="26"/>
                <w:rtl/>
              </w:rPr>
              <w:t xml:space="preserve"> יעמוד בתקפו שלושים י</w:t>
            </w:r>
            <w:r w:rsidR="00C57C6F">
              <w:rPr>
                <w:rFonts w:hint="cs"/>
                <w:color w:val="auto"/>
                <w:sz w:val="26"/>
                <w:rtl/>
              </w:rPr>
              <w:t>מים</w:t>
            </w:r>
            <w:r w:rsidRPr="003C16D3">
              <w:rPr>
                <w:color w:val="auto"/>
                <w:sz w:val="26"/>
                <w:rtl/>
              </w:rPr>
              <w:t xml:space="preserve"> מיום נתינתו, אם לא בוטל לפני כן על ידי מי שהוציא אותו או על ידי בית המשפט; בתום התקופה של שלושים י</w:t>
            </w:r>
            <w:r w:rsidR="00C57C6F">
              <w:rPr>
                <w:rFonts w:hint="cs"/>
                <w:color w:val="auto"/>
                <w:sz w:val="26"/>
                <w:rtl/>
              </w:rPr>
              <w:t>מים</w:t>
            </w:r>
            <w:r w:rsidRPr="003C16D3">
              <w:rPr>
                <w:color w:val="auto"/>
                <w:sz w:val="26"/>
                <w:rtl/>
              </w:rPr>
              <w:t xml:space="preserve"> רשאי מי שנתן את צו ההפסקה </w:t>
            </w:r>
            <w:proofErr w:type="spellStart"/>
            <w:r w:rsidRPr="003C16D3">
              <w:rPr>
                <w:color w:val="auto"/>
                <w:sz w:val="26"/>
                <w:rtl/>
              </w:rPr>
              <w:t>המינהלי</w:t>
            </w:r>
            <w:proofErr w:type="spellEnd"/>
            <w:r w:rsidRPr="003C16D3">
              <w:rPr>
                <w:color w:val="auto"/>
                <w:sz w:val="26"/>
                <w:rtl/>
              </w:rPr>
              <w:t xml:space="preserve"> להאריך את תקפו לתקופה נוספת של שלושים י</w:t>
            </w:r>
            <w:r w:rsidR="00C57C6F">
              <w:rPr>
                <w:rFonts w:hint="cs"/>
                <w:color w:val="auto"/>
                <w:sz w:val="26"/>
                <w:rtl/>
              </w:rPr>
              <w:t>מים</w:t>
            </w:r>
            <w:r w:rsidRPr="003C16D3">
              <w:rPr>
                <w:color w:val="auto"/>
                <w:sz w:val="26"/>
                <w:rtl/>
              </w:rPr>
              <w:t xml:space="preserve"> אם הוגש לבית המשפט כתב אישום על העבירה ששימשה עילה להוצאת הצו; הוראות סעיף זה לא יגרעו מסמכותו של בית המשפט לפי סעיף </w:t>
            </w:r>
            <w:r w:rsidRPr="003C16D3">
              <w:rPr>
                <w:rFonts w:hint="cs"/>
                <w:color w:val="auto"/>
                <w:sz w:val="26"/>
                <w:rtl/>
              </w:rPr>
              <w:t>4ג.</w:t>
            </w:r>
          </w:p>
        </w:tc>
      </w:tr>
      <w:tr w:rsidR="00027DEB" w14:paraId="439286AF" w14:textId="77777777" w:rsidTr="00C57C6F">
        <w:trPr>
          <w:cantSplit/>
          <w:trHeight w:val="60"/>
        </w:trPr>
        <w:tc>
          <w:tcPr>
            <w:tcW w:w="1869" w:type="dxa"/>
          </w:tcPr>
          <w:p w14:paraId="5223289E" w14:textId="77777777" w:rsidR="00027DEB" w:rsidRDefault="00027DEB" w:rsidP="00C57C6F">
            <w:pPr>
              <w:pStyle w:val="TableSideHeading"/>
              <w:rPr>
                <w:rtl/>
              </w:rPr>
            </w:pPr>
          </w:p>
        </w:tc>
        <w:tc>
          <w:tcPr>
            <w:tcW w:w="624" w:type="dxa"/>
          </w:tcPr>
          <w:p w14:paraId="29DA0832" w14:textId="77777777" w:rsidR="00027DEB" w:rsidRDefault="00027DEB" w:rsidP="00C57C6F">
            <w:pPr>
              <w:pStyle w:val="TableText"/>
            </w:pPr>
          </w:p>
        </w:tc>
        <w:tc>
          <w:tcPr>
            <w:tcW w:w="624" w:type="dxa"/>
          </w:tcPr>
          <w:p w14:paraId="2C7934FD" w14:textId="77777777" w:rsidR="00027DEB" w:rsidRDefault="00027DEB" w:rsidP="00C57C6F">
            <w:pPr>
              <w:pStyle w:val="TableText"/>
            </w:pPr>
          </w:p>
        </w:tc>
        <w:tc>
          <w:tcPr>
            <w:tcW w:w="624" w:type="dxa"/>
          </w:tcPr>
          <w:p w14:paraId="40F2AB0C" w14:textId="77777777" w:rsidR="00027DEB" w:rsidRDefault="00027DEB" w:rsidP="00C57C6F">
            <w:pPr>
              <w:pStyle w:val="TableText"/>
            </w:pPr>
          </w:p>
        </w:tc>
        <w:tc>
          <w:tcPr>
            <w:tcW w:w="624" w:type="dxa"/>
          </w:tcPr>
          <w:p w14:paraId="3898BCBB" w14:textId="77777777" w:rsidR="00027DEB" w:rsidRDefault="00027DEB" w:rsidP="00C57C6F">
            <w:pPr>
              <w:pStyle w:val="TableText"/>
            </w:pPr>
          </w:p>
        </w:tc>
        <w:tc>
          <w:tcPr>
            <w:tcW w:w="624" w:type="dxa"/>
          </w:tcPr>
          <w:p w14:paraId="568D35D0" w14:textId="77777777" w:rsidR="00027DEB" w:rsidRDefault="00027DEB" w:rsidP="00C57C6F">
            <w:pPr>
              <w:pStyle w:val="TableText"/>
            </w:pPr>
          </w:p>
        </w:tc>
        <w:tc>
          <w:tcPr>
            <w:tcW w:w="4649" w:type="dxa"/>
            <w:gridSpan w:val="3"/>
          </w:tcPr>
          <w:p w14:paraId="02564B47" w14:textId="77777777" w:rsidR="00027DEB" w:rsidRDefault="00027DEB" w:rsidP="00C57C6F">
            <w:pPr>
              <w:pStyle w:val="TableBlock"/>
              <w:rPr>
                <w:rtl/>
              </w:rPr>
            </w:pPr>
            <w:r>
              <w:rPr>
                <w:rFonts w:hint="cs"/>
                <w:color w:val="auto"/>
                <w:sz w:val="26"/>
                <w:rtl/>
              </w:rPr>
              <w:t>(ג)</w:t>
            </w:r>
            <w:r>
              <w:rPr>
                <w:color w:val="auto"/>
                <w:sz w:val="26"/>
                <w:rtl/>
              </w:rPr>
              <w:tab/>
            </w:r>
            <w:r w:rsidRPr="003C16D3">
              <w:rPr>
                <w:color w:val="auto"/>
                <w:sz w:val="26"/>
                <w:rtl/>
              </w:rPr>
              <w:t xml:space="preserve">הרואה את עצמו נפגע על ידי צו הפסקה </w:t>
            </w:r>
            <w:proofErr w:type="spellStart"/>
            <w:r w:rsidRPr="003C16D3">
              <w:rPr>
                <w:color w:val="auto"/>
                <w:sz w:val="26"/>
                <w:rtl/>
              </w:rPr>
              <w:t>מינהלי</w:t>
            </w:r>
            <w:proofErr w:type="spellEnd"/>
            <w:r w:rsidRPr="003C16D3">
              <w:rPr>
                <w:color w:val="auto"/>
                <w:sz w:val="26"/>
                <w:rtl/>
              </w:rPr>
              <w:t xml:space="preserve">, רשאי לבקש את ביטולו בבית משפט השלום או בבית המשפט </w:t>
            </w:r>
            <w:r w:rsidRPr="003C16D3">
              <w:rPr>
                <w:rFonts w:hint="cs"/>
                <w:color w:val="auto"/>
                <w:sz w:val="26"/>
                <w:rtl/>
              </w:rPr>
              <w:t>לענייני</w:t>
            </w:r>
            <w:r w:rsidRPr="003C16D3">
              <w:rPr>
                <w:rFonts w:hint="eastAsia"/>
                <w:color w:val="auto"/>
                <w:sz w:val="26"/>
                <w:rtl/>
              </w:rPr>
              <w:t>ם</w:t>
            </w:r>
            <w:r w:rsidRPr="003C16D3">
              <w:rPr>
                <w:color w:val="auto"/>
                <w:sz w:val="26"/>
                <w:rtl/>
              </w:rPr>
              <w:t xml:space="preserve"> מקומיים שבתחום שיפוטו נמצא העסק שעליו ניתן הצו, ובית המשפט רשאי לבטל את הצו או לאשרו, עם או בלי שינויים; הגשת הבקשה לא תעכב את ביצועו של הצו, כל עוד לא החליט בית המשפט החלטה אחרת;</w:t>
            </w:r>
            <w:r w:rsidRPr="003C16D3">
              <w:rPr>
                <w:rFonts w:hint="cs"/>
                <w:color w:val="auto"/>
                <w:sz w:val="26"/>
                <w:rtl/>
              </w:rPr>
              <w:t xml:space="preserve"> </w:t>
            </w:r>
            <w:r w:rsidRPr="003C16D3">
              <w:rPr>
                <w:color w:val="auto"/>
                <w:sz w:val="26"/>
                <w:rtl/>
              </w:rPr>
              <w:t xml:space="preserve">בקשה לפי סעיף </w:t>
            </w:r>
            <w:r w:rsidRPr="003C16D3">
              <w:rPr>
                <w:rFonts w:hint="cs"/>
                <w:color w:val="auto"/>
                <w:sz w:val="26"/>
                <w:rtl/>
              </w:rPr>
              <w:t>קטן זה</w:t>
            </w:r>
            <w:r w:rsidRPr="003C16D3">
              <w:rPr>
                <w:color w:val="auto"/>
                <w:sz w:val="26"/>
                <w:rtl/>
              </w:rPr>
              <w:t xml:space="preserve"> תידון במעמד שני הצדדים בתוך שבעה ימים מיום הגשת הבקשה.</w:t>
            </w:r>
          </w:p>
        </w:tc>
      </w:tr>
      <w:tr w:rsidR="00027DEB" w14:paraId="4D615507" w14:textId="77777777" w:rsidTr="00C57C6F">
        <w:trPr>
          <w:cantSplit/>
          <w:trHeight w:val="60"/>
        </w:trPr>
        <w:tc>
          <w:tcPr>
            <w:tcW w:w="1869" w:type="dxa"/>
          </w:tcPr>
          <w:p w14:paraId="6745C1A3" w14:textId="77777777" w:rsidR="00027DEB" w:rsidRDefault="00027DEB" w:rsidP="00C57C6F">
            <w:pPr>
              <w:pStyle w:val="TableSideHeading"/>
              <w:keepLines w:val="0"/>
            </w:pPr>
          </w:p>
        </w:tc>
        <w:tc>
          <w:tcPr>
            <w:tcW w:w="624" w:type="dxa"/>
          </w:tcPr>
          <w:p w14:paraId="7A2287CB" w14:textId="77777777" w:rsidR="00027DEB" w:rsidRDefault="00027DEB" w:rsidP="00C57C6F">
            <w:pPr>
              <w:pStyle w:val="TableText"/>
              <w:keepLines w:val="0"/>
            </w:pPr>
          </w:p>
        </w:tc>
        <w:tc>
          <w:tcPr>
            <w:tcW w:w="1872" w:type="dxa"/>
            <w:gridSpan w:val="3"/>
          </w:tcPr>
          <w:p w14:paraId="19C06112" w14:textId="77777777" w:rsidR="00027DEB" w:rsidRDefault="00027DEB" w:rsidP="00C57C6F">
            <w:pPr>
              <w:pStyle w:val="TableInnerSideHeading"/>
            </w:pPr>
            <w:r w:rsidRPr="00BA4670">
              <w:rPr>
                <w:rFonts w:hint="cs"/>
                <w:rtl/>
              </w:rPr>
              <w:t>סגירת מקו</w:t>
            </w:r>
            <w:r>
              <w:rPr>
                <w:rFonts w:hint="cs"/>
                <w:rtl/>
              </w:rPr>
              <w:t>ם</w:t>
            </w:r>
          </w:p>
        </w:tc>
        <w:tc>
          <w:tcPr>
            <w:tcW w:w="624" w:type="dxa"/>
          </w:tcPr>
          <w:p w14:paraId="0458BFCB" w14:textId="77777777" w:rsidR="00027DEB" w:rsidRDefault="00027DEB" w:rsidP="00C57C6F">
            <w:pPr>
              <w:pStyle w:val="TableText"/>
            </w:pPr>
            <w:r>
              <w:rPr>
                <w:rFonts w:hint="cs"/>
                <w:rtl/>
              </w:rPr>
              <w:t>4ג.</w:t>
            </w:r>
          </w:p>
        </w:tc>
        <w:tc>
          <w:tcPr>
            <w:tcW w:w="4649" w:type="dxa"/>
            <w:gridSpan w:val="3"/>
          </w:tcPr>
          <w:p w14:paraId="5BC27076" w14:textId="06F052DD" w:rsidR="00027DEB" w:rsidRDefault="00027DEB" w:rsidP="00C57C6F">
            <w:pPr>
              <w:pStyle w:val="TableBlock"/>
            </w:pPr>
            <w:r>
              <w:rPr>
                <w:rFonts w:hint="cs"/>
                <w:sz w:val="26"/>
                <w:rtl/>
              </w:rPr>
              <w:t>(א)</w:t>
            </w:r>
            <w:r>
              <w:rPr>
                <w:sz w:val="26"/>
                <w:rtl/>
              </w:rPr>
              <w:tab/>
            </w:r>
            <w:r w:rsidRPr="003C16D3">
              <w:rPr>
                <w:sz w:val="26"/>
                <w:rtl/>
              </w:rPr>
              <w:t xml:space="preserve">הורשע </w:t>
            </w:r>
            <w:r w:rsidRPr="003C16D3">
              <w:rPr>
                <w:rFonts w:hint="cs"/>
                <w:sz w:val="26"/>
                <w:rtl/>
              </w:rPr>
              <w:t>מחזיק של מקום ציבורי</w:t>
            </w:r>
            <w:r w:rsidRPr="003C16D3">
              <w:rPr>
                <w:sz w:val="26"/>
                <w:rtl/>
              </w:rPr>
              <w:t xml:space="preserve"> </w:t>
            </w:r>
            <w:r w:rsidRPr="003C16D3">
              <w:rPr>
                <w:rFonts w:hint="cs"/>
                <w:sz w:val="26"/>
                <w:rtl/>
              </w:rPr>
              <w:t>ב</w:t>
            </w:r>
            <w:r w:rsidRPr="003C16D3">
              <w:rPr>
                <w:sz w:val="26"/>
                <w:rtl/>
              </w:rPr>
              <w:t xml:space="preserve">עבירה לפי סעיף </w:t>
            </w:r>
            <w:r w:rsidRPr="003C16D3">
              <w:rPr>
                <w:rFonts w:hint="cs"/>
                <w:sz w:val="26"/>
                <w:rtl/>
              </w:rPr>
              <w:t xml:space="preserve">2א בפעם השלישית בתוך שנתיים </w:t>
            </w:r>
            <w:r w:rsidR="00C57C6F">
              <w:rPr>
                <w:rFonts w:hint="eastAsia"/>
                <w:sz w:val="26"/>
                <w:rtl/>
              </w:rPr>
              <w:t>–</w:t>
            </w:r>
            <w:r w:rsidRPr="003C16D3">
              <w:rPr>
                <w:sz w:val="26"/>
                <w:rtl/>
              </w:rPr>
              <w:t xml:space="preserve"> רשאי בית המשפט, נוסף </w:t>
            </w:r>
            <w:r w:rsidR="00C57C6F">
              <w:rPr>
                <w:rFonts w:hint="cs"/>
                <w:sz w:val="26"/>
                <w:rtl/>
              </w:rPr>
              <w:t>ע</w:t>
            </w:r>
            <w:r w:rsidRPr="003C16D3">
              <w:rPr>
                <w:sz w:val="26"/>
                <w:rtl/>
              </w:rPr>
              <w:t>ל</w:t>
            </w:r>
            <w:r w:rsidR="00C57C6F">
              <w:rPr>
                <w:rFonts w:hint="cs"/>
                <w:sz w:val="26"/>
                <w:rtl/>
              </w:rPr>
              <w:t xml:space="preserve"> </w:t>
            </w:r>
            <w:r w:rsidRPr="003C16D3">
              <w:rPr>
                <w:sz w:val="26"/>
                <w:rtl/>
              </w:rPr>
              <w:t>כל עונש שיטיל</w:t>
            </w:r>
            <w:r w:rsidRPr="003C16D3">
              <w:rPr>
                <w:rFonts w:hint="cs"/>
                <w:sz w:val="26"/>
                <w:rtl/>
              </w:rPr>
              <w:t xml:space="preserve">, </w:t>
            </w:r>
            <w:r w:rsidRPr="003C16D3">
              <w:rPr>
                <w:sz w:val="26"/>
                <w:rtl/>
              </w:rPr>
              <w:t>לצוות על הפסקת העיסוק בעסק</w:t>
            </w:r>
            <w:r w:rsidRPr="003C16D3">
              <w:rPr>
                <w:rFonts w:hint="cs"/>
                <w:sz w:val="26"/>
                <w:rtl/>
              </w:rPr>
              <w:t xml:space="preserve"> שהוא מקום ציבורי מהמקומות המפורטים בפרטי</w:t>
            </w:r>
            <w:r>
              <w:rPr>
                <w:rFonts w:hint="cs"/>
                <w:sz w:val="26"/>
                <w:rtl/>
              </w:rPr>
              <w:t>ם 10, 11, 17 ו-18 לתוספת</w:t>
            </w:r>
            <w:r w:rsidRPr="003C16D3">
              <w:rPr>
                <w:sz w:val="26"/>
                <w:rtl/>
              </w:rPr>
              <w:t xml:space="preserve">, לחלוטין או לתקופה שיקבע, אם בסגירת </w:t>
            </w:r>
            <w:proofErr w:type="spellStart"/>
            <w:r w:rsidRPr="003C16D3">
              <w:rPr>
                <w:sz w:val="26"/>
                <w:rtl/>
              </w:rPr>
              <w:t>החצרים</w:t>
            </w:r>
            <w:proofErr w:type="spellEnd"/>
            <w:r w:rsidRPr="003C16D3">
              <w:rPr>
                <w:sz w:val="26"/>
                <w:rtl/>
              </w:rPr>
              <w:t xml:space="preserve"> ואם בכל דרך אחרת הנראית לו מתאימה כדי להביא לידי הפסקה של ממש בעיסוק</w:t>
            </w:r>
            <w:r w:rsidRPr="003C16D3">
              <w:rPr>
                <w:color w:val="auto"/>
                <w:sz w:val="26"/>
                <w:rtl/>
              </w:rPr>
              <w:t>;</w:t>
            </w:r>
            <w:r w:rsidRPr="003C16D3">
              <w:rPr>
                <w:rFonts w:hint="cs"/>
                <w:color w:val="auto"/>
                <w:sz w:val="26"/>
                <w:rtl/>
              </w:rPr>
              <w:t xml:space="preserve"> במניין ההרשעות ייספרו גם מספר הקנסות המנהליים ששולמו ע</w:t>
            </w:r>
            <w:r>
              <w:rPr>
                <w:rFonts w:hint="cs"/>
                <w:color w:val="auto"/>
                <w:sz w:val="26"/>
                <w:rtl/>
              </w:rPr>
              <w:t xml:space="preserve">ל </w:t>
            </w:r>
            <w:r w:rsidRPr="003C16D3">
              <w:rPr>
                <w:rFonts w:hint="cs"/>
                <w:color w:val="auto"/>
                <w:sz w:val="26"/>
                <w:rtl/>
              </w:rPr>
              <w:t>י</w:t>
            </w:r>
            <w:r>
              <w:rPr>
                <w:rFonts w:hint="cs"/>
                <w:color w:val="auto"/>
                <w:sz w:val="26"/>
                <w:rtl/>
              </w:rPr>
              <w:t>די</w:t>
            </w:r>
            <w:r w:rsidRPr="003C16D3">
              <w:rPr>
                <w:rFonts w:hint="cs"/>
                <w:color w:val="auto"/>
                <w:sz w:val="26"/>
                <w:rtl/>
              </w:rPr>
              <w:t xml:space="preserve"> המחזיק של המקום הציבורי לפי סעיף 229(ח) לחוק סדר הדין הפלילי וכן מספר הודעות הקנס שלא שולמו ולא הוגשו בגינן בקשה לביטול או בקשה לה</w:t>
            </w:r>
            <w:r>
              <w:rPr>
                <w:rFonts w:hint="cs"/>
                <w:color w:val="auto"/>
                <w:sz w:val="26"/>
                <w:rtl/>
              </w:rPr>
              <w:t>י</w:t>
            </w:r>
            <w:r w:rsidRPr="003C16D3">
              <w:rPr>
                <w:rFonts w:hint="cs"/>
                <w:color w:val="auto"/>
                <w:sz w:val="26"/>
                <w:rtl/>
              </w:rPr>
              <w:t>שפט או שהוגשה בקשה לביטול ונדחתה לפי סעיף 229(ח2) לחוק סדר הדין הפלילי.</w:t>
            </w:r>
          </w:p>
        </w:tc>
      </w:tr>
      <w:tr w:rsidR="00027DEB" w14:paraId="3B2075D6" w14:textId="77777777" w:rsidTr="00C57C6F">
        <w:trPr>
          <w:cantSplit/>
          <w:trHeight w:val="60"/>
        </w:trPr>
        <w:tc>
          <w:tcPr>
            <w:tcW w:w="1869" w:type="dxa"/>
          </w:tcPr>
          <w:p w14:paraId="2A07D88B" w14:textId="77777777" w:rsidR="00027DEB" w:rsidRDefault="00027DEB" w:rsidP="00C57C6F">
            <w:pPr>
              <w:pStyle w:val="TableSideHeading"/>
            </w:pPr>
          </w:p>
        </w:tc>
        <w:tc>
          <w:tcPr>
            <w:tcW w:w="624" w:type="dxa"/>
          </w:tcPr>
          <w:p w14:paraId="0A0B0EA9" w14:textId="77777777" w:rsidR="00027DEB" w:rsidRDefault="00027DEB" w:rsidP="00C57C6F">
            <w:pPr>
              <w:pStyle w:val="TableText"/>
            </w:pPr>
          </w:p>
        </w:tc>
        <w:tc>
          <w:tcPr>
            <w:tcW w:w="624" w:type="dxa"/>
          </w:tcPr>
          <w:p w14:paraId="653E2BC7" w14:textId="77777777" w:rsidR="00027DEB" w:rsidRDefault="00027DEB" w:rsidP="00C57C6F">
            <w:pPr>
              <w:pStyle w:val="TableText"/>
            </w:pPr>
          </w:p>
        </w:tc>
        <w:tc>
          <w:tcPr>
            <w:tcW w:w="624" w:type="dxa"/>
          </w:tcPr>
          <w:p w14:paraId="1D226EF3" w14:textId="77777777" w:rsidR="00027DEB" w:rsidRDefault="00027DEB" w:rsidP="00C57C6F">
            <w:pPr>
              <w:pStyle w:val="TableText"/>
            </w:pPr>
          </w:p>
        </w:tc>
        <w:tc>
          <w:tcPr>
            <w:tcW w:w="624" w:type="dxa"/>
          </w:tcPr>
          <w:p w14:paraId="4D072B35" w14:textId="77777777" w:rsidR="00027DEB" w:rsidRDefault="00027DEB" w:rsidP="00C57C6F">
            <w:pPr>
              <w:pStyle w:val="TableText"/>
            </w:pPr>
          </w:p>
        </w:tc>
        <w:tc>
          <w:tcPr>
            <w:tcW w:w="624" w:type="dxa"/>
          </w:tcPr>
          <w:p w14:paraId="27115C4F" w14:textId="77777777" w:rsidR="00027DEB" w:rsidRDefault="00027DEB" w:rsidP="00C57C6F">
            <w:pPr>
              <w:pStyle w:val="TableText"/>
            </w:pPr>
          </w:p>
        </w:tc>
        <w:tc>
          <w:tcPr>
            <w:tcW w:w="4649" w:type="dxa"/>
            <w:gridSpan w:val="3"/>
          </w:tcPr>
          <w:p w14:paraId="600F042F" w14:textId="4CA7A474" w:rsidR="00027DEB" w:rsidRDefault="00027DEB" w:rsidP="00C57C6F">
            <w:pPr>
              <w:pStyle w:val="TableBlock"/>
            </w:pPr>
            <w:r>
              <w:rPr>
                <w:rFonts w:hint="cs"/>
                <w:sz w:val="26"/>
                <w:rtl/>
              </w:rPr>
              <w:t>(ב)</w:t>
            </w:r>
            <w:r>
              <w:rPr>
                <w:sz w:val="26"/>
                <w:rtl/>
              </w:rPr>
              <w:tab/>
            </w:r>
            <w:r w:rsidRPr="003C16D3">
              <w:rPr>
                <w:sz w:val="26"/>
                <w:rtl/>
              </w:rPr>
              <w:t xml:space="preserve">הוגש כתב אישום בשל עבירה לפי סעיף </w:t>
            </w:r>
            <w:r w:rsidRPr="003C16D3">
              <w:rPr>
                <w:rFonts w:hint="cs"/>
                <w:sz w:val="26"/>
                <w:rtl/>
              </w:rPr>
              <w:t>2א</w:t>
            </w:r>
            <w:r w:rsidRPr="003C16D3">
              <w:rPr>
                <w:sz w:val="26"/>
                <w:rtl/>
              </w:rPr>
              <w:t xml:space="preserve">, רשאי בית המשפט שאליו הוגש כתב האישום לתת צו כאמור בסעיף </w:t>
            </w:r>
            <w:r w:rsidRPr="003C16D3">
              <w:rPr>
                <w:rFonts w:hint="cs"/>
                <w:sz w:val="26"/>
                <w:rtl/>
              </w:rPr>
              <w:t>קטן (א)</w:t>
            </w:r>
            <w:r w:rsidRPr="003C16D3">
              <w:rPr>
                <w:sz w:val="26"/>
                <w:rtl/>
              </w:rPr>
              <w:t>, ות</w:t>
            </w:r>
            <w:r w:rsidR="00C57C6F">
              <w:rPr>
                <w:rFonts w:hint="cs"/>
                <w:sz w:val="26"/>
                <w:rtl/>
              </w:rPr>
              <w:t>ו</w:t>
            </w:r>
            <w:r w:rsidRPr="003C16D3">
              <w:rPr>
                <w:sz w:val="26"/>
                <w:rtl/>
              </w:rPr>
              <w:t>קפו יפקע עם ביטול כתב האישום, או עם מתן גזר הדין, או במועד שבו זוכה הנאשם זיכוי סופי, או בכל מועד קודם שנקבע בצו.</w:t>
            </w:r>
          </w:p>
        </w:tc>
      </w:tr>
      <w:tr w:rsidR="00027DEB" w14:paraId="79187296" w14:textId="77777777" w:rsidTr="00C57C6F">
        <w:trPr>
          <w:cantSplit/>
          <w:trHeight w:val="60"/>
        </w:trPr>
        <w:tc>
          <w:tcPr>
            <w:tcW w:w="1869" w:type="dxa"/>
          </w:tcPr>
          <w:p w14:paraId="675568C2" w14:textId="77777777" w:rsidR="00027DEB" w:rsidRDefault="00027DEB" w:rsidP="00C57C6F">
            <w:pPr>
              <w:pStyle w:val="TableSideHeading"/>
              <w:keepLines w:val="0"/>
            </w:pPr>
          </w:p>
        </w:tc>
        <w:tc>
          <w:tcPr>
            <w:tcW w:w="624" w:type="dxa"/>
          </w:tcPr>
          <w:p w14:paraId="52A0C865" w14:textId="77777777" w:rsidR="00027DEB" w:rsidRDefault="00027DEB" w:rsidP="00C57C6F">
            <w:pPr>
              <w:pStyle w:val="TableText"/>
              <w:keepLines w:val="0"/>
            </w:pPr>
          </w:p>
        </w:tc>
        <w:tc>
          <w:tcPr>
            <w:tcW w:w="1872" w:type="dxa"/>
            <w:gridSpan w:val="3"/>
          </w:tcPr>
          <w:p w14:paraId="7D34B66F" w14:textId="77777777" w:rsidR="00027DEB" w:rsidRDefault="00027DEB" w:rsidP="00C57C6F">
            <w:pPr>
              <w:pStyle w:val="TableInnerSideHeading"/>
            </w:pPr>
            <w:r w:rsidRPr="00AA72ED">
              <w:rPr>
                <w:rFonts w:hint="cs"/>
                <w:rtl/>
              </w:rPr>
              <w:t>קובלנה פלילית</w:t>
            </w:r>
          </w:p>
        </w:tc>
        <w:tc>
          <w:tcPr>
            <w:tcW w:w="624" w:type="dxa"/>
          </w:tcPr>
          <w:p w14:paraId="6A47C82B" w14:textId="77777777" w:rsidR="00027DEB" w:rsidRDefault="00027DEB" w:rsidP="00C57C6F">
            <w:pPr>
              <w:pStyle w:val="TableText"/>
            </w:pPr>
            <w:r>
              <w:rPr>
                <w:rFonts w:hint="cs"/>
                <w:rtl/>
              </w:rPr>
              <w:t>4ד.</w:t>
            </w:r>
          </w:p>
        </w:tc>
        <w:tc>
          <w:tcPr>
            <w:tcW w:w="4649" w:type="dxa"/>
            <w:gridSpan w:val="3"/>
          </w:tcPr>
          <w:p w14:paraId="5ED6FF99" w14:textId="77777777" w:rsidR="00027DEB" w:rsidRDefault="00027DEB" w:rsidP="00C57C6F">
            <w:pPr>
              <w:pStyle w:val="TableBlock"/>
            </w:pPr>
            <w:r>
              <w:rPr>
                <w:rFonts w:hint="cs"/>
                <w:rtl/>
              </w:rPr>
              <w:t>(א)</w:t>
            </w:r>
            <w:r>
              <w:rPr>
                <w:rtl/>
              </w:rPr>
              <w:tab/>
            </w:r>
            <w:r>
              <w:rPr>
                <w:rFonts w:hint="cs"/>
                <w:rtl/>
              </w:rPr>
              <w:t xml:space="preserve">על עבירה לפי חוק זה רשאי </w:t>
            </w:r>
            <w:r w:rsidRPr="003C16D3">
              <w:rPr>
                <w:sz w:val="26"/>
                <w:rtl/>
              </w:rPr>
              <w:t xml:space="preserve">ארגון </w:t>
            </w:r>
            <w:r w:rsidRPr="00491226">
              <w:rPr>
                <w:sz w:val="26"/>
                <w:rtl/>
              </w:rPr>
              <w:t xml:space="preserve">שבין מטרותיו שמירה </w:t>
            </w:r>
            <w:r>
              <w:rPr>
                <w:rFonts w:hint="cs"/>
                <w:sz w:val="26"/>
                <w:rtl/>
              </w:rPr>
              <w:t xml:space="preserve">וקידום </w:t>
            </w:r>
            <w:r w:rsidRPr="00491226">
              <w:rPr>
                <w:sz w:val="26"/>
                <w:rtl/>
              </w:rPr>
              <w:t>בריאות</w:t>
            </w:r>
            <w:r>
              <w:rPr>
                <w:rFonts w:hint="cs"/>
                <w:sz w:val="26"/>
                <w:rtl/>
              </w:rPr>
              <w:t xml:space="preserve"> הציבור</w:t>
            </w:r>
            <w:r w:rsidRPr="00491226">
              <w:rPr>
                <w:sz w:val="26"/>
                <w:rtl/>
              </w:rPr>
              <w:t xml:space="preserve">, ריפוי, מניעת מחלות, מניעת עישון, </w:t>
            </w:r>
            <w:r w:rsidRPr="003C16D3">
              <w:rPr>
                <w:sz w:val="26"/>
                <w:rtl/>
              </w:rPr>
              <w:t xml:space="preserve">או הגנה על איכות הסביבה, </w:t>
            </w:r>
            <w:r>
              <w:rPr>
                <w:rFonts w:hint="cs"/>
                <w:sz w:val="26"/>
                <w:rtl/>
              </w:rPr>
              <w:t>ו</w:t>
            </w:r>
            <w:r w:rsidRPr="003C16D3">
              <w:rPr>
                <w:sz w:val="26"/>
                <w:rtl/>
              </w:rPr>
              <w:t>שאישר שר הבריאות</w:t>
            </w:r>
            <w:r>
              <w:rPr>
                <w:rFonts w:hint="cs"/>
                <w:rtl/>
              </w:rPr>
              <w:t>, להגיש קובלנה כאמור בסעיף 68 לחוק סדר הדין הפלילי.</w:t>
            </w:r>
          </w:p>
        </w:tc>
      </w:tr>
      <w:tr w:rsidR="00027DEB" w14:paraId="21ABBAAB" w14:textId="77777777" w:rsidTr="00C57C6F">
        <w:trPr>
          <w:cantSplit/>
          <w:trHeight w:val="60"/>
        </w:trPr>
        <w:tc>
          <w:tcPr>
            <w:tcW w:w="1869" w:type="dxa"/>
          </w:tcPr>
          <w:p w14:paraId="39F0D4CF" w14:textId="77777777" w:rsidR="00027DEB" w:rsidRDefault="00027DEB" w:rsidP="00C57C6F">
            <w:pPr>
              <w:pStyle w:val="TableSideHeading"/>
              <w:rPr>
                <w:rtl/>
              </w:rPr>
            </w:pPr>
          </w:p>
        </w:tc>
        <w:tc>
          <w:tcPr>
            <w:tcW w:w="624" w:type="dxa"/>
          </w:tcPr>
          <w:p w14:paraId="6720EDD3" w14:textId="77777777" w:rsidR="00027DEB" w:rsidRDefault="00027DEB" w:rsidP="00C57C6F">
            <w:pPr>
              <w:pStyle w:val="TableText"/>
            </w:pPr>
          </w:p>
        </w:tc>
        <w:tc>
          <w:tcPr>
            <w:tcW w:w="624" w:type="dxa"/>
          </w:tcPr>
          <w:p w14:paraId="7550B5AE" w14:textId="77777777" w:rsidR="00027DEB" w:rsidRDefault="00027DEB" w:rsidP="00C57C6F">
            <w:pPr>
              <w:pStyle w:val="TableText"/>
            </w:pPr>
          </w:p>
        </w:tc>
        <w:tc>
          <w:tcPr>
            <w:tcW w:w="624" w:type="dxa"/>
          </w:tcPr>
          <w:p w14:paraId="3456C1FB" w14:textId="77777777" w:rsidR="00027DEB" w:rsidRDefault="00027DEB" w:rsidP="00C57C6F">
            <w:pPr>
              <w:pStyle w:val="TableText"/>
            </w:pPr>
          </w:p>
        </w:tc>
        <w:tc>
          <w:tcPr>
            <w:tcW w:w="624" w:type="dxa"/>
          </w:tcPr>
          <w:p w14:paraId="7F5C9811" w14:textId="77777777" w:rsidR="00027DEB" w:rsidRDefault="00027DEB" w:rsidP="00C57C6F">
            <w:pPr>
              <w:pStyle w:val="TableText"/>
            </w:pPr>
          </w:p>
        </w:tc>
        <w:tc>
          <w:tcPr>
            <w:tcW w:w="624" w:type="dxa"/>
          </w:tcPr>
          <w:p w14:paraId="1E42B4DF" w14:textId="77777777" w:rsidR="00027DEB" w:rsidRDefault="00027DEB" w:rsidP="00C57C6F">
            <w:pPr>
              <w:pStyle w:val="TableText"/>
            </w:pPr>
          </w:p>
        </w:tc>
        <w:tc>
          <w:tcPr>
            <w:tcW w:w="4649" w:type="dxa"/>
            <w:gridSpan w:val="3"/>
          </w:tcPr>
          <w:p w14:paraId="002189AF" w14:textId="565CCA82" w:rsidR="00027DEB" w:rsidRDefault="00027DEB" w:rsidP="00C57C6F">
            <w:pPr>
              <w:pStyle w:val="TableBlock"/>
              <w:rPr>
                <w:rtl/>
              </w:rPr>
            </w:pPr>
            <w:r>
              <w:rPr>
                <w:rFonts w:hint="cs"/>
                <w:sz w:val="26"/>
                <w:rtl/>
              </w:rPr>
              <w:t>(ב)</w:t>
            </w:r>
            <w:r>
              <w:rPr>
                <w:sz w:val="26"/>
                <w:rtl/>
              </w:rPr>
              <w:tab/>
            </w:r>
            <w:r w:rsidRPr="003C16D3">
              <w:rPr>
                <w:sz w:val="26"/>
                <w:rtl/>
              </w:rPr>
              <w:t>לא תוגש קובלנה לפי סעיף קטן (א)</w:t>
            </w:r>
            <w:r w:rsidR="00C57C6F">
              <w:rPr>
                <w:rFonts w:hint="cs"/>
                <w:sz w:val="26"/>
                <w:rtl/>
              </w:rPr>
              <w:t>,</w:t>
            </w:r>
            <w:r w:rsidRPr="003C16D3">
              <w:rPr>
                <w:sz w:val="26"/>
                <w:rtl/>
              </w:rPr>
              <w:t xml:space="preserve"> אלא אם כן מסר הקובל הודעה לשר </w:t>
            </w:r>
            <w:r w:rsidRPr="003C16D3">
              <w:rPr>
                <w:rFonts w:hint="cs"/>
                <w:sz w:val="26"/>
                <w:rtl/>
              </w:rPr>
              <w:t xml:space="preserve">הבריאות </w:t>
            </w:r>
            <w:r w:rsidRPr="003C16D3">
              <w:rPr>
                <w:sz w:val="26"/>
                <w:rtl/>
              </w:rPr>
              <w:t>על כוונתו לעשות כן ולא הוגש, תוך 60 ימים לאחר מכן, כתב אישום מטעם היועץ המשפטי לממשלה.</w:t>
            </w:r>
            <w:r>
              <w:rPr>
                <w:rFonts w:hint="cs"/>
                <w:rtl/>
              </w:rPr>
              <w:t>"</w:t>
            </w:r>
          </w:p>
        </w:tc>
      </w:tr>
      <w:tr w:rsidR="00027DEB" w:rsidRPr="003C16D3" w14:paraId="615410C0" w14:textId="77777777" w:rsidTr="00C57C6F">
        <w:trPr>
          <w:cantSplit/>
        </w:trPr>
        <w:tc>
          <w:tcPr>
            <w:tcW w:w="1869" w:type="dxa"/>
          </w:tcPr>
          <w:p w14:paraId="5424FF86" w14:textId="77777777" w:rsidR="00027DEB" w:rsidRPr="00DB51D1" w:rsidRDefault="00027DEB" w:rsidP="00C57C6F">
            <w:pPr>
              <w:pStyle w:val="TableBlock"/>
              <w:rPr>
                <w:rtl/>
              </w:rPr>
            </w:pPr>
            <w:r w:rsidRPr="00DB51D1">
              <w:rPr>
                <w:rFonts w:hint="cs"/>
                <w:rtl/>
              </w:rPr>
              <w:t>תיקון סעיף 5</w:t>
            </w:r>
          </w:p>
        </w:tc>
        <w:tc>
          <w:tcPr>
            <w:tcW w:w="624" w:type="dxa"/>
          </w:tcPr>
          <w:p w14:paraId="2A6B91E5" w14:textId="77777777" w:rsidR="00027DEB" w:rsidRPr="0046280E" w:rsidRDefault="00027DEB" w:rsidP="00C57C6F">
            <w:pPr>
              <w:pStyle w:val="TableBlock"/>
              <w:rPr>
                <w:rtl/>
              </w:rPr>
            </w:pPr>
            <w:r>
              <w:rPr>
                <w:rFonts w:hint="cs"/>
                <w:rtl/>
              </w:rPr>
              <w:t>9.</w:t>
            </w:r>
          </w:p>
        </w:tc>
        <w:tc>
          <w:tcPr>
            <w:tcW w:w="7145" w:type="dxa"/>
            <w:gridSpan w:val="7"/>
          </w:tcPr>
          <w:p w14:paraId="7BC8CC57" w14:textId="479784B3" w:rsidR="00027DEB" w:rsidRPr="003C16D3" w:rsidRDefault="00027DEB" w:rsidP="00C57C6F">
            <w:pPr>
              <w:pStyle w:val="TableBlock"/>
              <w:rPr>
                <w:sz w:val="26"/>
                <w:rtl/>
              </w:rPr>
            </w:pPr>
            <w:r w:rsidRPr="003C16D3">
              <w:rPr>
                <w:rFonts w:hint="cs"/>
                <w:sz w:val="26"/>
                <w:rtl/>
              </w:rPr>
              <w:t>בסעיף 5</w:t>
            </w:r>
            <w:r>
              <w:rPr>
                <w:rFonts w:hint="cs"/>
                <w:sz w:val="26"/>
                <w:rtl/>
              </w:rPr>
              <w:t>(א)</w:t>
            </w:r>
            <w:r w:rsidRPr="003C16D3">
              <w:rPr>
                <w:rFonts w:hint="cs"/>
                <w:sz w:val="26"/>
                <w:rtl/>
              </w:rPr>
              <w:t xml:space="preserve"> לחוק העיקרי,  </w:t>
            </w:r>
            <w:proofErr w:type="spellStart"/>
            <w:r>
              <w:rPr>
                <w:rFonts w:hint="cs"/>
                <w:sz w:val="26"/>
                <w:rtl/>
              </w:rPr>
              <w:t>הסיפה</w:t>
            </w:r>
            <w:proofErr w:type="spellEnd"/>
            <w:r>
              <w:rPr>
                <w:rFonts w:hint="cs"/>
                <w:sz w:val="26"/>
                <w:rtl/>
              </w:rPr>
              <w:t xml:space="preserve"> </w:t>
            </w:r>
            <w:r w:rsidRPr="003C16D3">
              <w:rPr>
                <w:rFonts w:hint="cs"/>
                <w:sz w:val="26"/>
                <w:rtl/>
              </w:rPr>
              <w:t xml:space="preserve">החל במילים "המפר הוראה זו" </w:t>
            </w:r>
            <w:r w:rsidR="00C57C6F">
              <w:rPr>
                <w:rFonts w:hint="eastAsia"/>
                <w:sz w:val="26"/>
                <w:rtl/>
              </w:rPr>
              <w:t>–</w:t>
            </w:r>
            <w:r w:rsidR="00C57C6F">
              <w:rPr>
                <w:rFonts w:hint="cs"/>
                <w:sz w:val="26"/>
                <w:rtl/>
              </w:rPr>
              <w:t xml:space="preserve"> </w:t>
            </w:r>
            <w:r>
              <w:rPr>
                <w:rFonts w:hint="cs"/>
                <w:sz w:val="26"/>
                <w:rtl/>
              </w:rPr>
              <w:t>ת</w:t>
            </w:r>
            <w:r w:rsidRPr="003C16D3">
              <w:rPr>
                <w:rFonts w:hint="cs"/>
                <w:sz w:val="26"/>
                <w:rtl/>
              </w:rPr>
              <w:t>ימחק.</w:t>
            </w:r>
          </w:p>
        </w:tc>
      </w:tr>
      <w:tr w:rsidR="00027DEB" w:rsidRPr="003C16D3" w14:paraId="3AAF6F27" w14:textId="77777777" w:rsidTr="00C57C6F">
        <w:trPr>
          <w:cantSplit/>
        </w:trPr>
        <w:tc>
          <w:tcPr>
            <w:tcW w:w="1869" w:type="dxa"/>
          </w:tcPr>
          <w:p w14:paraId="71138C5C" w14:textId="77777777" w:rsidR="00027DEB" w:rsidRPr="00DB51D1" w:rsidRDefault="00027DEB" w:rsidP="00C57C6F">
            <w:pPr>
              <w:pStyle w:val="TableBlock"/>
              <w:rPr>
                <w:rtl/>
              </w:rPr>
            </w:pPr>
            <w:r w:rsidRPr="00DB51D1">
              <w:rPr>
                <w:rFonts w:hint="cs"/>
                <w:rtl/>
              </w:rPr>
              <w:t>תיקון סעיף 5א</w:t>
            </w:r>
          </w:p>
        </w:tc>
        <w:tc>
          <w:tcPr>
            <w:tcW w:w="624" w:type="dxa"/>
          </w:tcPr>
          <w:p w14:paraId="15FC93DE" w14:textId="77777777" w:rsidR="00027DEB" w:rsidRPr="0046280E" w:rsidRDefault="00027DEB" w:rsidP="00C57C6F">
            <w:pPr>
              <w:pStyle w:val="TableBlock"/>
              <w:rPr>
                <w:rtl/>
              </w:rPr>
            </w:pPr>
            <w:r>
              <w:rPr>
                <w:rFonts w:hint="cs"/>
                <w:rtl/>
              </w:rPr>
              <w:t>10.</w:t>
            </w:r>
          </w:p>
        </w:tc>
        <w:tc>
          <w:tcPr>
            <w:tcW w:w="7145" w:type="dxa"/>
            <w:gridSpan w:val="7"/>
          </w:tcPr>
          <w:p w14:paraId="15C17B9A" w14:textId="37F8B3AC" w:rsidR="00027DEB" w:rsidRPr="003C16D3" w:rsidRDefault="00027DEB" w:rsidP="00C57C6F">
            <w:pPr>
              <w:pStyle w:val="TableBlock"/>
              <w:rPr>
                <w:sz w:val="26"/>
                <w:rtl/>
              </w:rPr>
            </w:pPr>
            <w:r w:rsidRPr="003C16D3">
              <w:rPr>
                <w:rFonts w:hint="cs"/>
                <w:sz w:val="26"/>
                <w:rtl/>
              </w:rPr>
              <w:t>בסעיף 5א לחוק העיקרי</w:t>
            </w:r>
            <w:r>
              <w:rPr>
                <w:rFonts w:hint="cs"/>
                <w:sz w:val="26"/>
                <w:rtl/>
              </w:rPr>
              <w:t>,</w:t>
            </w:r>
            <w:r w:rsidRPr="003C16D3">
              <w:rPr>
                <w:rFonts w:hint="cs"/>
                <w:sz w:val="26"/>
                <w:rtl/>
              </w:rPr>
              <w:t xml:space="preserve"> המילים "[נוסח משולב], </w:t>
            </w:r>
            <w:proofErr w:type="spellStart"/>
            <w:r w:rsidRPr="003C16D3">
              <w:rPr>
                <w:rFonts w:hint="cs"/>
                <w:sz w:val="26"/>
                <w:rtl/>
              </w:rPr>
              <w:t>התשמ"ב</w:t>
            </w:r>
            <w:proofErr w:type="spellEnd"/>
            <w:r>
              <w:rPr>
                <w:rFonts w:hint="eastAsia"/>
                <w:sz w:val="26"/>
                <w:rtl/>
              </w:rPr>
              <w:t>–</w:t>
            </w:r>
            <w:r w:rsidRPr="003C16D3">
              <w:rPr>
                <w:rFonts w:hint="cs"/>
                <w:sz w:val="26"/>
                <w:rtl/>
              </w:rPr>
              <w:t xml:space="preserve">1982" </w:t>
            </w:r>
            <w:r>
              <w:rPr>
                <w:rFonts w:hint="cs"/>
                <w:sz w:val="26"/>
                <w:rtl/>
              </w:rPr>
              <w:t xml:space="preserve"> </w:t>
            </w:r>
            <w:r>
              <w:rPr>
                <w:rFonts w:hint="eastAsia"/>
                <w:sz w:val="26"/>
                <w:rtl/>
              </w:rPr>
              <w:t>–</w:t>
            </w:r>
            <w:r>
              <w:rPr>
                <w:rFonts w:hint="cs"/>
                <w:sz w:val="26"/>
                <w:rtl/>
              </w:rPr>
              <w:t xml:space="preserve"> </w:t>
            </w:r>
            <w:r w:rsidRPr="003C16D3">
              <w:rPr>
                <w:rFonts w:hint="cs"/>
                <w:sz w:val="26"/>
                <w:rtl/>
              </w:rPr>
              <w:t>יימחקו</w:t>
            </w:r>
            <w:r w:rsidR="00C57C6F">
              <w:rPr>
                <w:rFonts w:hint="cs"/>
                <w:sz w:val="26"/>
                <w:rtl/>
              </w:rPr>
              <w:t>,</w:t>
            </w:r>
            <w:r>
              <w:rPr>
                <w:rFonts w:hint="cs"/>
                <w:sz w:val="26"/>
                <w:rtl/>
              </w:rPr>
              <w:t xml:space="preserve"> ואחרי "שנקבעה כעבירת קנס,</w:t>
            </w:r>
            <w:r w:rsidRPr="003C16D3">
              <w:rPr>
                <w:rFonts w:hint="cs"/>
                <w:sz w:val="26"/>
                <w:rtl/>
              </w:rPr>
              <w:t>" יבוא "</w:t>
            </w:r>
            <w:r w:rsidRPr="003C16D3">
              <w:rPr>
                <w:sz w:val="26"/>
                <w:rtl/>
              </w:rPr>
              <w:t>וכן לעבירת קנס חוזרת, נמשכת או נוספת</w:t>
            </w:r>
            <w:r>
              <w:rPr>
                <w:rFonts w:hint="cs"/>
                <w:sz w:val="26"/>
                <w:rtl/>
              </w:rPr>
              <w:t>,</w:t>
            </w:r>
            <w:r w:rsidRPr="003C16D3">
              <w:rPr>
                <w:rFonts w:hint="cs"/>
                <w:sz w:val="26"/>
                <w:rtl/>
              </w:rPr>
              <w:t>"</w:t>
            </w:r>
            <w:r>
              <w:rPr>
                <w:rFonts w:hint="cs"/>
                <w:sz w:val="26"/>
                <w:rtl/>
              </w:rPr>
              <w:t>.</w:t>
            </w:r>
          </w:p>
        </w:tc>
      </w:tr>
      <w:tr w:rsidR="00027DEB" w:rsidRPr="003C16D3" w14:paraId="42C7D614" w14:textId="77777777" w:rsidTr="00C57C6F">
        <w:trPr>
          <w:cantSplit/>
        </w:trPr>
        <w:tc>
          <w:tcPr>
            <w:tcW w:w="1869" w:type="dxa"/>
          </w:tcPr>
          <w:p w14:paraId="77480B73" w14:textId="77777777" w:rsidR="00027DEB" w:rsidRPr="003C16D3" w:rsidRDefault="00027DEB" w:rsidP="00C57C6F">
            <w:pPr>
              <w:pStyle w:val="TableSideHeading"/>
              <w:ind w:left="57" w:right="0"/>
              <w:rPr>
                <w:sz w:val="26"/>
                <w:rtl/>
              </w:rPr>
            </w:pPr>
            <w:r w:rsidRPr="003C16D3">
              <w:rPr>
                <w:rFonts w:hint="cs"/>
                <w:sz w:val="26"/>
                <w:rtl/>
              </w:rPr>
              <w:t>הוספת סעיפים 6ב ו-6ג</w:t>
            </w:r>
          </w:p>
        </w:tc>
        <w:tc>
          <w:tcPr>
            <w:tcW w:w="624" w:type="dxa"/>
          </w:tcPr>
          <w:p w14:paraId="21EC2447" w14:textId="77777777" w:rsidR="00027DEB" w:rsidRPr="0046280E" w:rsidRDefault="00027DEB" w:rsidP="00C57C6F">
            <w:pPr>
              <w:pStyle w:val="TableBlock"/>
              <w:rPr>
                <w:rtl/>
              </w:rPr>
            </w:pPr>
            <w:r>
              <w:rPr>
                <w:rFonts w:hint="cs"/>
                <w:rtl/>
              </w:rPr>
              <w:t>11.</w:t>
            </w:r>
          </w:p>
        </w:tc>
        <w:tc>
          <w:tcPr>
            <w:tcW w:w="7145" w:type="dxa"/>
            <w:gridSpan w:val="7"/>
          </w:tcPr>
          <w:p w14:paraId="7B38880A" w14:textId="77777777" w:rsidR="00027DEB" w:rsidRPr="003C16D3" w:rsidRDefault="00027DEB" w:rsidP="00C57C6F">
            <w:pPr>
              <w:pStyle w:val="TableBlock"/>
              <w:rPr>
                <w:sz w:val="26"/>
                <w:rtl/>
              </w:rPr>
            </w:pPr>
            <w:r w:rsidRPr="003C16D3">
              <w:rPr>
                <w:rFonts w:hint="cs"/>
                <w:sz w:val="26"/>
                <w:rtl/>
              </w:rPr>
              <w:t>אחרי סעיף 6א לחוק העיקרי יבוא</w:t>
            </w:r>
            <w:r>
              <w:rPr>
                <w:rFonts w:hint="cs"/>
                <w:sz w:val="26"/>
                <w:rtl/>
              </w:rPr>
              <w:t>:</w:t>
            </w:r>
          </w:p>
        </w:tc>
      </w:tr>
      <w:tr w:rsidR="00027DEB" w14:paraId="367B2D6D" w14:textId="77777777" w:rsidTr="00C57C6F">
        <w:trPr>
          <w:cantSplit/>
          <w:trHeight w:val="60"/>
        </w:trPr>
        <w:tc>
          <w:tcPr>
            <w:tcW w:w="1869" w:type="dxa"/>
          </w:tcPr>
          <w:p w14:paraId="076C8D38" w14:textId="77777777" w:rsidR="00027DEB" w:rsidRDefault="00027DEB" w:rsidP="00C57C6F">
            <w:pPr>
              <w:pStyle w:val="TableSideHeading"/>
              <w:keepLines w:val="0"/>
            </w:pPr>
          </w:p>
        </w:tc>
        <w:tc>
          <w:tcPr>
            <w:tcW w:w="624" w:type="dxa"/>
          </w:tcPr>
          <w:p w14:paraId="6A72498D" w14:textId="77777777" w:rsidR="00027DEB" w:rsidRDefault="00027DEB" w:rsidP="00C57C6F">
            <w:pPr>
              <w:pStyle w:val="TableText"/>
              <w:keepLines w:val="0"/>
            </w:pPr>
          </w:p>
        </w:tc>
        <w:tc>
          <w:tcPr>
            <w:tcW w:w="1872" w:type="dxa"/>
            <w:gridSpan w:val="3"/>
          </w:tcPr>
          <w:p w14:paraId="3D7C8682" w14:textId="77777777" w:rsidR="00027DEB" w:rsidRDefault="00027DEB" w:rsidP="00C57C6F">
            <w:pPr>
              <w:pStyle w:val="TableInnerSideHeading"/>
            </w:pPr>
            <w:r w:rsidRPr="007E0BD9">
              <w:rPr>
                <w:rFonts w:hint="cs"/>
                <w:rtl/>
              </w:rPr>
              <w:t>"מפקחים של משרד הבריאות</w:t>
            </w:r>
            <w:r>
              <w:rPr>
                <w:rFonts w:hint="cs"/>
                <w:rtl/>
              </w:rPr>
              <w:t xml:space="preserve"> </w:t>
            </w:r>
          </w:p>
        </w:tc>
        <w:tc>
          <w:tcPr>
            <w:tcW w:w="624" w:type="dxa"/>
          </w:tcPr>
          <w:p w14:paraId="6D40EC5C" w14:textId="77777777" w:rsidR="00027DEB" w:rsidRDefault="00027DEB" w:rsidP="00C57C6F">
            <w:pPr>
              <w:pStyle w:val="TableText"/>
            </w:pPr>
            <w:r>
              <w:rPr>
                <w:rFonts w:hint="cs"/>
                <w:rtl/>
              </w:rPr>
              <w:t>6ב.</w:t>
            </w:r>
          </w:p>
        </w:tc>
        <w:tc>
          <w:tcPr>
            <w:tcW w:w="4649" w:type="dxa"/>
            <w:gridSpan w:val="3"/>
          </w:tcPr>
          <w:p w14:paraId="6EB87C08" w14:textId="77777777" w:rsidR="00027DEB" w:rsidRDefault="00027DEB" w:rsidP="00C57C6F">
            <w:pPr>
              <w:pStyle w:val="TableBlock"/>
            </w:pPr>
            <w:r>
              <w:rPr>
                <w:rFonts w:hint="cs"/>
                <w:rtl/>
              </w:rPr>
              <w:t>(א)</w:t>
            </w:r>
            <w:r>
              <w:rPr>
                <w:rtl/>
              </w:rPr>
              <w:tab/>
            </w:r>
            <w:r w:rsidRPr="003C16D3">
              <w:rPr>
                <w:rtl/>
              </w:rPr>
              <w:t>שר הבריאות רשאי להסמיך מפקחים</w:t>
            </w:r>
            <w:r>
              <w:rPr>
                <w:rFonts w:hint="cs"/>
                <w:rtl/>
              </w:rPr>
              <w:t xml:space="preserve"> שהם</w:t>
            </w:r>
            <w:r w:rsidRPr="003C16D3">
              <w:rPr>
                <w:rtl/>
              </w:rPr>
              <w:t xml:space="preserve"> עובדי מדינה, שיהיו נתונות להם הסמכויות לפי </w:t>
            </w:r>
            <w:r w:rsidRPr="0003092B">
              <w:rPr>
                <w:rFonts w:hint="cs"/>
                <w:rtl/>
              </w:rPr>
              <w:t>סעיף 7</w:t>
            </w:r>
            <w:r>
              <w:rPr>
                <w:rFonts w:hint="cs"/>
                <w:rtl/>
              </w:rPr>
              <w:t>א</w:t>
            </w:r>
            <w:r w:rsidRPr="003C16D3">
              <w:rPr>
                <w:rtl/>
              </w:rPr>
              <w:t xml:space="preserve"> לשם פיקוח על ביצוע הוראות לפי חוק זה.</w:t>
            </w:r>
          </w:p>
        </w:tc>
      </w:tr>
      <w:tr w:rsidR="00027DEB" w14:paraId="58F4E9AB" w14:textId="77777777" w:rsidTr="00C57C6F">
        <w:trPr>
          <w:cantSplit/>
          <w:trHeight w:val="60"/>
        </w:trPr>
        <w:tc>
          <w:tcPr>
            <w:tcW w:w="1869" w:type="dxa"/>
          </w:tcPr>
          <w:p w14:paraId="2E8A8571" w14:textId="77777777" w:rsidR="00027DEB" w:rsidRDefault="00027DEB" w:rsidP="00C57C6F">
            <w:pPr>
              <w:pStyle w:val="TableSideHeading"/>
            </w:pPr>
          </w:p>
        </w:tc>
        <w:tc>
          <w:tcPr>
            <w:tcW w:w="624" w:type="dxa"/>
          </w:tcPr>
          <w:p w14:paraId="132E0789" w14:textId="77777777" w:rsidR="00027DEB" w:rsidRDefault="00027DEB" w:rsidP="00C57C6F">
            <w:pPr>
              <w:pStyle w:val="TableText"/>
            </w:pPr>
          </w:p>
        </w:tc>
        <w:tc>
          <w:tcPr>
            <w:tcW w:w="624" w:type="dxa"/>
          </w:tcPr>
          <w:p w14:paraId="67E3D12F" w14:textId="77777777" w:rsidR="00027DEB" w:rsidRDefault="00027DEB" w:rsidP="00C57C6F">
            <w:pPr>
              <w:pStyle w:val="TableText"/>
            </w:pPr>
          </w:p>
        </w:tc>
        <w:tc>
          <w:tcPr>
            <w:tcW w:w="624" w:type="dxa"/>
          </w:tcPr>
          <w:p w14:paraId="29DCDDAE" w14:textId="77777777" w:rsidR="00027DEB" w:rsidRDefault="00027DEB" w:rsidP="00C57C6F">
            <w:pPr>
              <w:pStyle w:val="TableText"/>
            </w:pPr>
          </w:p>
        </w:tc>
        <w:tc>
          <w:tcPr>
            <w:tcW w:w="624" w:type="dxa"/>
          </w:tcPr>
          <w:p w14:paraId="19311B61" w14:textId="77777777" w:rsidR="00027DEB" w:rsidRDefault="00027DEB" w:rsidP="00C57C6F">
            <w:pPr>
              <w:pStyle w:val="TableText"/>
            </w:pPr>
          </w:p>
        </w:tc>
        <w:tc>
          <w:tcPr>
            <w:tcW w:w="624" w:type="dxa"/>
          </w:tcPr>
          <w:p w14:paraId="0BF41070" w14:textId="77777777" w:rsidR="00027DEB" w:rsidRDefault="00027DEB" w:rsidP="00C57C6F">
            <w:pPr>
              <w:pStyle w:val="TableText"/>
            </w:pPr>
          </w:p>
        </w:tc>
        <w:tc>
          <w:tcPr>
            <w:tcW w:w="4649" w:type="dxa"/>
            <w:gridSpan w:val="3"/>
          </w:tcPr>
          <w:p w14:paraId="2D275502" w14:textId="77777777" w:rsidR="00027DEB" w:rsidRDefault="00027DEB" w:rsidP="00C57C6F">
            <w:pPr>
              <w:pStyle w:val="TableBlock"/>
            </w:pPr>
            <w:r>
              <w:rPr>
                <w:rFonts w:hint="cs"/>
                <w:rtl/>
              </w:rPr>
              <w:t>(ב)</w:t>
            </w:r>
            <w:r>
              <w:rPr>
                <w:rtl/>
              </w:rPr>
              <w:tab/>
            </w:r>
            <w:r w:rsidRPr="003C16D3">
              <w:rPr>
                <w:rtl/>
              </w:rPr>
              <w:t>לא יוסמך מפקח לפי סעיף קטן (א) אלא אם כן מתקיימים בו כל אלה:</w:t>
            </w:r>
          </w:p>
        </w:tc>
      </w:tr>
      <w:tr w:rsidR="00027DEB" w14:paraId="7FA86CC9" w14:textId="77777777" w:rsidTr="00C57C6F">
        <w:trPr>
          <w:cantSplit/>
          <w:trHeight w:val="60"/>
        </w:trPr>
        <w:tc>
          <w:tcPr>
            <w:tcW w:w="1869" w:type="dxa"/>
          </w:tcPr>
          <w:p w14:paraId="46B52AF3" w14:textId="77777777" w:rsidR="00027DEB" w:rsidRDefault="00027DEB" w:rsidP="00C57C6F">
            <w:pPr>
              <w:pStyle w:val="TableSideHeading"/>
            </w:pPr>
          </w:p>
        </w:tc>
        <w:tc>
          <w:tcPr>
            <w:tcW w:w="624" w:type="dxa"/>
          </w:tcPr>
          <w:p w14:paraId="2F3D8059" w14:textId="77777777" w:rsidR="00027DEB" w:rsidRDefault="00027DEB" w:rsidP="00C57C6F">
            <w:pPr>
              <w:pStyle w:val="TableText"/>
            </w:pPr>
          </w:p>
        </w:tc>
        <w:tc>
          <w:tcPr>
            <w:tcW w:w="624" w:type="dxa"/>
          </w:tcPr>
          <w:p w14:paraId="6571A887" w14:textId="77777777" w:rsidR="00027DEB" w:rsidRDefault="00027DEB" w:rsidP="00C57C6F">
            <w:pPr>
              <w:pStyle w:val="TableText"/>
            </w:pPr>
          </w:p>
        </w:tc>
        <w:tc>
          <w:tcPr>
            <w:tcW w:w="624" w:type="dxa"/>
          </w:tcPr>
          <w:p w14:paraId="545B26D9" w14:textId="77777777" w:rsidR="00027DEB" w:rsidRDefault="00027DEB" w:rsidP="00C57C6F">
            <w:pPr>
              <w:pStyle w:val="TableText"/>
            </w:pPr>
          </w:p>
        </w:tc>
        <w:tc>
          <w:tcPr>
            <w:tcW w:w="624" w:type="dxa"/>
          </w:tcPr>
          <w:p w14:paraId="47EE2A93" w14:textId="77777777" w:rsidR="00027DEB" w:rsidRDefault="00027DEB" w:rsidP="00C57C6F">
            <w:pPr>
              <w:pStyle w:val="TableText"/>
            </w:pPr>
          </w:p>
        </w:tc>
        <w:tc>
          <w:tcPr>
            <w:tcW w:w="624" w:type="dxa"/>
          </w:tcPr>
          <w:p w14:paraId="16E417C8" w14:textId="77777777" w:rsidR="00027DEB" w:rsidRDefault="00027DEB" w:rsidP="00C57C6F">
            <w:pPr>
              <w:pStyle w:val="TableText"/>
            </w:pPr>
          </w:p>
        </w:tc>
        <w:tc>
          <w:tcPr>
            <w:tcW w:w="624" w:type="dxa"/>
          </w:tcPr>
          <w:p w14:paraId="477106FB" w14:textId="77777777" w:rsidR="00027DEB" w:rsidRDefault="00027DEB" w:rsidP="00C57C6F">
            <w:pPr>
              <w:pStyle w:val="TableText"/>
            </w:pPr>
          </w:p>
        </w:tc>
        <w:tc>
          <w:tcPr>
            <w:tcW w:w="4025" w:type="dxa"/>
            <w:gridSpan w:val="2"/>
          </w:tcPr>
          <w:p w14:paraId="5625B548" w14:textId="77777777" w:rsidR="00027DEB" w:rsidRDefault="00027DEB" w:rsidP="00C57C6F">
            <w:pPr>
              <w:pStyle w:val="TableBlock"/>
            </w:pPr>
            <w:r>
              <w:rPr>
                <w:rFonts w:hint="cs"/>
                <w:rtl/>
              </w:rPr>
              <w:t>(1)</w:t>
            </w:r>
            <w:r>
              <w:rPr>
                <w:rtl/>
              </w:rPr>
              <w:tab/>
            </w:r>
            <w:r w:rsidRPr="003C16D3">
              <w:rPr>
                <w:rtl/>
              </w:rPr>
              <w:t xml:space="preserve">הוא לא הורשע בעבירה שמפאת מהותה, חומרתה </w:t>
            </w:r>
            <w:r w:rsidRPr="003C16D3">
              <w:rPr>
                <w:rFonts w:hint="cs"/>
                <w:rtl/>
              </w:rPr>
              <w:t xml:space="preserve">או </w:t>
            </w:r>
            <w:r w:rsidRPr="003C16D3">
              <w:rPr>
                <w:rtl/>
              </w:rPr>
              <w:t>נסיבותיה הוא אינו ראוי</w:t>
            </w:r>
            <w:r w:rsidRPr="003C16D3">
              <w:rPr>
                <w:rFonts w:hint="cs"/>
                <w:rtl/>
              </w:rPr>
              <w:t xml:space="preserve"> </w:t>
            </w:r>
            <w:r w:rsidRPr="003C16D3">
              <w:rPr>
                <w:rtl/>
              </w:rPr>
              <w:t>לשמש מפקח;</w:t>
            </w:r>
          </w:p>
        </w:tc>
      </w:tr>
      <w:tr w:rsidR="00027DEB" w14:paraId="68D1BB26" w14:textId="77777777" w:rsidTr="00C57C6F">
        <w:trPr>
          <w:cantSplit/>
          <w:trHeight w:val="60"/>
        </w:trPr>
        <w:tc>
          <w:tcPr>
            <w:tcW w:w="1869" w:type="dxa"/>
          </w:tcPr>
          <w:p w14:paraId="7B624EDB" w14:textId="77777777" w:rsidR="00027DEB" w:rsidRDefault="00027DEB" w:rsidP="00C57C6F">
            <w:pPr>
              <w:pStyle w:val="TableSideHeading"/>
              <w:rPr>
                <w:rtl/>
              </w:rPr>
            </w:pPr>
          </w:p>
        </w:tc>
        <w:tc>
          <w:tcPr>
            <w:tcW w:w="624" w:type="dxa"/>
          </w:tcPr>
          <w:p w14:paraId="057820DF" w14:textId="77777777" w:rsidR="00027DEB" w:rsidRDefault="00027DEB" w:rsidP="00C57C6F">
            <w:pPr>
              <w:pStyle w:val="TableText"/>
            </w:pPr>
          </w:p>
        </w:tc>
        <w:tc>
          <w:tcPr>
            <w:tcW w:w="624" w:type="dxa"/>
          </w:tcPr>
          <w:p w14:paraId="6C91C17B" w14:textId="77777777" w:rsidR="00027DEB" w:rsidRDefault="00027DEB" w:rsidP="00C57C6F">
            <w:pPr>
              <w:pStyle w:val="TableText"/>
            </w:pPr>
          </w:p>
        </w:tc>
        <w:tc>
          <w:tcPr>
            <w:tcW w:w="624" w:type="dxa"/>
          </w:tcPr>
          <w:p w14:paraId="2EB88DE9" w14:textId="77777777" w:rsidR="00027DEB" w:rsidRDefault="00027DEB" w:rsidP="00C57C6F">
            <w:pPr>
              <w:pStyle w:val="TableText"/>
            </w:pPr>
          </w:p>
        </w:tc>
        <w:tc>
          <w:tcPr>
            <w:tcW w:w="624" w:type="dxa"/>
          </w:tcPr>
          <w:p w14:paraId="7928F1CB" w14:textId="77777777" w:rsidR="00027DEB" w:rsidRDefault="00027DEB" w:rsidP="00C57C6F">
            <w:pPr>
              <w:pStyle w:val="TableText"/>
            </w:pPr>
          </w:p>
        </w:tc>
        <w:tc>
          <w:tcPr>
            <w:tcW w:w="624" w:type="dxa"/>
          </w:tcPr>
          <w:p w14:paraId="32D0E3E5" w14:textId="77777777" w:rsidR="00027DEB" w:rsidRDefault="00027DEB" w:rsidP="00C57C6F">
            <w:pPr>
              <w:pStyle w:val="TableText"/>
            </w:pPr>
          </w:p>
        </w:tc>
        <w:tc>
          <w:tcPr>
            <w:tcW w:w="624" w:type="dxa"/>
          </w:tcPr>
          <w:p w14:paraId="12C39871" w14:textId="77777777" w:rsidR="00027DEB" w:rsidRDefault="00027DEB" w:rsidP="00C57C6F">
            <w:pPr>
              <w:pStyle w:val="TableText"/>
            </w:pPr>
          </w:p>
        </w:tc>
        <w:tc>
          <w:tcPr>
            <w:tcW w:w="4025" w:type="dxa"/>
            <w:gridSpan w:val="2"/>
          </w:tcPr>
          <w:p w14:paraId="74BBEF21" w14:textId="77777777" w:rsidR="00027DEB" w:rsidRDefault="00027DEB" w:rsidP="00C57C6F">
            <w:pPr>
              <w:pStyle w:val="TableBlock"/>
              <w:rPr>
                <w:rtl/>
              </w:rPr>
            </w:pPr>
            <w:r>
              <w:rPr>
                <w:rFonts w:hint="cs"/>
                <w:rtl/>
              </w:rPr>
              <w:t>(2)</w:t>
            </w:r>
            <w:r>
              <w:rPr>
                <w:rtl/>
              </w:rPr>
              <w:tab/>
            </w:r>
            <w:r w:rsidRPr="003C16D3">
              <w:rPr>
                <w:rtl/>
              </w:rPr>
              <w:t>הוא קיבל הכשרה מתאימה בתחום הסמכויות שיהיו נתונות לו לפי חוק זה, כפי שהורה שר הבריאות;</w:t>
            </w:r>
          </w:p>
        </w:tc>
      </w:tr>
      <w:tr w:rsidR="00027DEB" w14:paraId="0717E3E7" w14:textId="77777777" w:rsidTr="00C57C6F">
        <w:trPr>
          <w:cantSplit/>
          <w:trHeight w:val="60"/>
        </w:trPr>
        <w:tc>
          <w:tcPr>
            <w:tcW w:w="1869" w:type="dxa"/>
          </w:tcPr>
          <w:p w14:paraId="51058BE0" w14:textId="77777777" w:rsidR="00027DEB" w:rsidRDefault="00027DEB" w:rsidP="00C57C6F">
            <w:pPr>
              <w:pStyle w:val="TableSideHeading"/>
              <w:rPr>
                <w:rtl/>
              </w:rPr>
            </w:pPr>
          </w:p>
        </w:tc>
        <w:tc>
          <w:tcPr>
            <w:tcW w:w="624" w:type="dxa"/>
          </w:tcPr>
          <w:p w14:paraId="5CD3FFDE" w14:textId="77777777" w:rsidR="00027DEB" w:rsidRDefault="00027DEB" w:rsidP="00C57C6F">
            <w:pPr>
              <w:pStyle w:val="TableText"/>
            </w:pPr>
          </w:p>
        </w:tc>
        <w:tc>
          <w:tcPr>
            <w:tcW w:w="624" w:type="dxa"/>
          </w:tcPr>
          <w:p w14:paraId="4C0BCC47" w14:textId="77777777" w:rsidR="00027DEB" w:rsidRDefault="00027DEB" w:rsidP="00C57C6F">
            <w:pPr>
              <w:pStyle w:val="TableText"/>
            </w:pPr>
          </w:p>
        </w:tc>
        <w:tc>
          <w:tcPr>
            <w:tcW w:w="624" w:type="dxa"/>
          </w:tcPr>
          <w:p w14:paraId="7BA89775" w14:textId="77777777" w:rsidR="00027DEB" w:rsidRDefault="00027DEB" w:rsidP="00C57C6F">
            <w:pPr>
              <w:pStyle w:val="TableText"/>
            </w:pPr>
          </w:p>
        </w:tc>
        <w:tc>
          <w:tcPr>
            <w:tcW w:w="624" w:type="dxa"/>
          </w:tcPr>
          <w:p w14:paraId="0DC75147" w14:textId="77777777" w:rsidR="00027DEB" w:rsidRDefault="00027DEB" w:rsidP="00C57C6F">
            <w:pPr>
              <w:pStyle w:val="TableText"/>
            </w:pPr>
          </w:p>
        </w:tc>
        <w:tc>
          <w:tcPr>
            <w:tcW w:w="624" w:type="dxa"/>
          </w:tcPr>
          <w:p w14:paraId="3285C851" w14:textId="77777777" w:rsidR="00027DEB" w:rsidRDefault="00027DEB" w:rsidP="00C57C6F">
            <w:pPr>
              <w:pStyle w:val="TableText"/>
            </w:pPr>
          </w:p>
        </w:tc>
        <w:tc>
          <w:tcPr>
            <w:tcW w:w="624" w:type="dxa"/>
          </w:tcPr>
          <w:p w14:paraId="516295C1" w14:textId="77777777" w:rsidR="00027DEB" w:rsidRDefault="00027DEB" w:rsidP="00C57C6F">
            <w:pPr>
              <w:pStyle w:val="TableText"/>
            </w:pPr>
          </w:p>
        </w:tc>
        <w:tc>
          <w:tcPr>
            <w:tcW w:w="4025" w:type="dxa"/>
            <w:gridSpan w:val="2"/>
          </w:tcPr>
          <w:p w14:paraId="4E17EE25" w14:textId="77777777" w:rsidR="00027DEB" w:rsidRDefault="00027DEB" w:rsidP="00C57C6F">
            <w:pPr>
              <w:pStyle w:val="TableBlock"/>
              <w:rPr>
                <w:rtl/>
              </w:rPr>
            </w:pPr>
            <w:r>
              <w:rPr>
                <w:rFonts w:hint="cs"/>
                <w:rtl/>
              </w:rPr>
              <w:t>(3)</w:t>
            </w:r>
            <w:r>
              <w:rPr>
                <w:rtl/>
              </w:rPr>
              <w:tab/>
            </w:r>
            <w:r w:rsidRPr="003C16D3">
              <w:rPr>
                <w:rtl/>
              </w:rPr>
              <w:t>הוא עומד בתנאי כשירות נוספים, ככל שהורה שר הבריאות.</w:t>
            </w:r>
          </w:p>
        </w:tc>
      </w:tr>
      <w:tr w:rsidR="00027DEB" w14:paraId="560C440A" w14:textId="77777777" w:rsidTr="00C57C6F">
        <w:trPr>
          <w:cantSplit/>
          <w:trHeight w:val="60"/>
        </w:trPr>
        <w:tc>
          <w:tcPr>
            <w:tcW w:w="1869" w:type="dxa"/>
          </w:tcPr>
          <w:p w14:paraId="3A8EBBF5" w14:textId="77777777" w:rsidR="00027DEB" w:rsidRDefault="00027DEB" w:rsidP="00C57C6F">
            <w:pPr>
              <w:pStyle w:val="TableSideHeading"/>
              <w:keepLines w:val="0"/>
            </w:pPr>
          </w:p>
        </w:tc>
        <w:tc>
          <w:tcPr>
            <w:tcW w:w="624" w:type="dxa"/>
          </w:tcPr>
          <w:p w14:paraId="10CD71D6" w14:textId="77777777" w:rsidR="00027DEB" w:rsidRDefault="00027DEB" w:rsidP="00C57C6F">
            <w:pPr>
              <w:pStyle w:val="TableText"/>
              <w:keepLines w:val="0"/>
            </w:pPr>
          </w:p>
        </w:tc>
        <w:tc>
          <w:tcPr>
            <w:tcW w:w="1872" w:type="dxa"/>
            <w:gridSpan w:val="3"/>
          </w:tcPr>
          <w:p w14:paraId="3494CB53" w14:textId="77777777" w:rsidR="00027DEB" w:rsidRDefault="00027DEB" w:rsidP="00C57C6F">
            <w:pPr>
              <w:pStyle w:val="TableInnerSideHeading"/>
            </w:pPr>
            <w:r w:rsidRPr="007E0BD9">
              <w:rPr>
                <w:rFonts w:hint="cs"/>
                <w:rtl/>
              </w:rPr>
              <w:t>נאמני מניעת עישון</w:t>
            </w:r>
          </w:p>
        </w:tc>
        <w:tc>
          <w:tcPr>
            <w:tcW w:w="624" w:type="dxa"/>
          </w:tcPr>
          <w:p w14:paraId="4B490BEA" w14:textId="77777777" w:rsidR="00027DEB" w:rsidRDefault="00027DEB" w:rsidP="00C57C6F">
            <w:pPr>
              <w:pStyle w:val="TableText"/>
            </w:pPr>
            <w:r>
              <w:rPr>
                <w:rFonts w:hint="cs"/>
                <w:rtl/>
              </w:rPr>
              <w:t>6ג.</w:t>
            </w:r>
          </w:p>
        </w:tc>
        <w:tc>
          <w:tcPr>
            <w:tcW w:w="4649" w:type="dxa"/>
            <w:gridSpan w:val="3"/>
          </w:tcPr>
          <w:p w14:paraId="4C5AE4E7" w14:textId="77777777" w:rsidR="00027DEB" w:rsidRDefault="00027DEB" w:rsidP="00C57C6F">
            <w:pPr>
              <w:pStyle w:val="TableBlock"/>
            </w:pPr>
            <w:r>
              <w:rPr>
                <w:rFonts w:hint="cs"/>
                <w:rtl/>
              </w:rPr>
              <w:t>(א)</w:t>
            </w:r>
            <w:r>
              <w:rPr>
                <w:rtl/>
              </w:rPr>
              <w:tab/>
            </w:r>
            <w:r w:rsidRPr="003C16D3">
              <w:rPr>
                <w:rFonts w:hint="cs"/>
                <w:rtl/>
              </w:rPr>
              <w:t>שר הבריאות</w:t>
            </w:r>
            <w:r w:rsidRPr="003C16D3">
              <w:rPr>
                <w:rtl/>
              </w:rPr>
              <w:t xml:space="preserve"> </w:t>
            </w:r>
            <w:r w:rsidRPr="003C16D3">
              <w:rPr>
                <w:rFonts w:hint="cs"/>
                <w:rtl/>
              </w:rPr>
              <w:t>ימנה</w:t>
            </w:r>
            <w:r w:rsidRPr="003C16D3">
              <w:rPr>
                <w:rtl/>
              </w:rPr>
              <w:t xml:space="preserve"> כל אדם </w:t>
            </w:r>
            <w:r w:rsidRPr="003C16D3">
              <w:rPr>
                <w:rFonts w:hint="cs"/>
                <w:rtl/>
              </w:rPr>
              <w:t xml:space="preserve">שמעוניין בכך </w:t>
            </w:r>
            <w:r w:rsidRPr="003C16D3">
              <w:rPr>
                <w:rtl/>
              </w:rPr>
              <w:t xml:space="preserve">להיות נאמן </w:t>
            </w:r>
            <w:r w:rsidRPr="003C16D3">
              <w:rPr>
                <w:rFonts w:hint="cs"/>
                <w:rtl/>
              </w:rPr>
              <w:t>מניעת עישון.</w:t>
            </w:r>
          </w:p>
        </w:tc>
      </w:tr>
      <w:tr w:rsidR="00027DEB" w14:paraId="6D4B282C" w14:textId="77777777" w:rsidTr="00C57C6F">
        <w:trPr>
          <w:cantSplit/>
          <w:trHeight w:val="60"/>
        </w:trPr>
        <w:tc>
          <w:tcPr>
            <w:tcW w:w="1869" w:type="dxa"/>
          </w:tcPr>
          <w:p w14:paraId="2F9B1078" w14:textId="77777777" w:rsidR="00027DEB" w:rsidRDefault="00027DEB" w:rsidP="00C57C6F">
            <w:pPr>
              <w:pStyle w:val="TableSideHeading"/>
              <w:keepLines w:val="0"/>
            </w:pPr>
          </w:p>
        </w:tc>
        <w:tc>
          <w:tcPr>
            <w:tcW w:w="624" w:type="dxa"/>
          </w:tcPr>
          <w:p w14:paraId="6AD3A774" w14:textId="77777777" w:rsidR="00027DEB" w:rsidRDefault="00027DEB" w:rsidP="00C57C6F">
            <w:pPr>
              <w:pStyle w:val="TableText"/>
              <w:keepLines w:val="0"/>
            </w:pPr>
          </w:p>
        </w:tc>
        <w:tc>
          <w:tcPr>
            <w:tcW w:w="1872" w:type="dxa"/>
            <w:gridSpan w:val="3"/>
          </w:tcPr>
          <w:p w14:paraId="54CC0181" w14:textId="77777777" w:rsidR="00027DEB" w:rsidRPr="007E0BD9" w:rsidRDefault="00027DEB" w:rsidP="00C57C6F">
            <w:pPr>
              <w:pStyle w:val="TableInnerSideHeading"/>
              <w:rPr>
                <w:rtl/>
              </w:rPr>
            </w:pPr>
          </w:p>
        </w:tc>
        <w:tc>
          <w:tcPr>
            <w:tcW w:w="624" w:type="dxa"/>
          </w:tcPr>
          <w:p w14:paraId="31628F26" w14:textId="77777777" w:rsidR="00027DEB" w:rsidRDefault="00027DEB" w:rsidP="00C57C6F">
            <w:pPr>
              <w:pStyle w:val="TableText"/>
              <w:rPr>
                <w:rtl/>
              </w:rPr>
            </w:pPr>
          </w:p>
        </w:tc>
        <w:tc>
          <w:tcPr>
            <w:tcW w:w="4649" w:type="dxa"/>
            <w:gridSpan w:val="3"/>
          </w:tcPr>
          <w:p w14:paraId="2D1A841D" w14:textId="5B1196D6" w:rsidR="00027DEB" w:rsidRDefault="00027DEB" w:rsidP="00C57C6F">
            <w:pPr>
              <w:pStyle w:val="TableBlock"/>
              <w:rPr>
                <w:rtl/>
              </w:rPr>
            </w:pPr>
            <w:r w:rsidRPr="00D31F27">
              <w:rPr>
                <w:rFonts w:hint="cs"/>
                <w:rtl/>
              </w:rPr>
              <w:t>(</w:t>
            </w:r>
            <w:r>
              <w:rPr>
                <w:rFonts w:hint="cs"/>
                <w:rtl/>
              </w:rPr>
              <w:t>ב</w:t>
            </w:r>
            <w:r w:rsidRPr="00D31F27">
              <w:rPr>
                <w:rFonts w:hint="cs"/>
                <w:rtl/>
              </w:rPr>
              <w:t>)</w:t>
            </w:r>
            <w:r w:rsidRPr="00D31F27">
              <w:rPr>
                <w:rtl/>
              </w:rPr>
              <w:tab/>
            </w:r>
            <w:r w:rsidRPr="00D31F27">
              <w:rPr>
                <w:rFonts w:hint="cs"/>
                <w:rtl/>
              </w:rPr>
              <w:t>לא ימונה אדם להיות נאמן עישון אלא אם</w:t>
            </w:r>
            <w:r w:rsidR="00C57C6F">
              <w:rPr>
                <w:rFonts w:hint="cs"/>
                <w:rtl/>
              </w:rPr>
              <w:t xml:space="preserve"> כן</w:t>
            </w:r>
            <w:r w:rsidRPr="00D31F27">
              <w:rPr>
                <w:rFonts w:hint="cs"/>
                <w:rtl/>
              </w:rPr>
              <w:t xml:space="preserve"> מתקיימים בו כל אלה:</w:t>
            </w:r>
          </w:p>
        </w:tc>
      </w:tr>
      <w:tr w:rsidR="00027DEB" w14:paraId="1D3503C3" w14:textId="77777777" w:rsidTr="00C57C6F">
        <w:trPr>
          <w:cantSplit/>
          <w:trHeight w:val="60"/>
        </w:trPr>
        <w:tc>
          <w:tcPr>
            <w:tcW w:w="1869" w:type="dxa"/>
          </w:tcPr>
          <w:p w14:paraId="7750FF71" w14:textId="77777777" w:rsidR="00027DEB" w:rsidRDefault="00027DEB" w:rsidP="00C57C6F">
            <w:pPr>
              <w:pStyle w:val="TableSideHeading"/>
            </w:pPr>
          </w:p>
        </w:tc>
        <w:tc>
          <w:tcPr>
            <w:tcW w:w="624" w:type="dxa"/>
          </w:tcPr>
          <w:p w14:paraId="79647BC5" w14:textId="77777777" w:rsidR="00027DEB" w:rsidRDefault="00027DEB" w:rsidP="00C57C6F">
            <w:pPr>
              <w:pStyle w:val="TableText"/>
            </w:pPr>
          </w:p>
        </w:tc>
        <w:tc>
          <w:tcPr>
            <w:tcW w:w="624" w:type="dxa"/>
          </w:tcPr>
          <w:p w14:paraId="1EED4029" w14:textId="77777777" w:rsidR="00027DEB" w:rsidRDefault="00027DEB" w:rsidP="00C57C6F">
            <w:pPr>
              <w:pStyle w:val="TableText"/>
            </w:pPr>
          </w:p>
        </w:tc>
        <w:tc>
          <w:tcPr>
            <w:tcW w:w="624" w:type="dxa"/>
          </w:tcPr>
          <w:p w14:paraId="0EC327A9" w14:textId="77777777" w:rsidR="00027DEB" w:rsidRDefault="00027DEB" w:rsidP="00C57C6F">
            <w:pPr>
              <w:pStyle w:val="TableText"/>
            </w:pPr>
          </w:p>
        </w:tc>
        <w:tc>
          <w:tcPr>
            <w:tcW w:w="624" w:type="dxa"/>
          </w:tcPr>
          <w:p w14:paraId="6FD52BCC" w14:textId="77777777" w:rsidR="00027DEB" w:rsidRDefault="00027DEB" w:rsidP="00C57C6F">
            <w:pPr>
              <w:pStyle w:val="TableText"/>
            </w:pPr>
          </w:p>
        </w:tc>
        <w:tc>
          <w:tcPr>
            <w:tcW w:w="624" w:type="dxa"/>
          </w:tcPr>
          <w:p w14:paraId="5FFE3428" w14:textId="77777777" w:rsidR="00027DEB" w:rsidRDefault="00027DEB" w:rsidP="00C57C6F">
            <w:pPr>
              <w:pStyle w:val="TableText"/>
            </w:pPr>
          </w:p>
        </w:tc>
        <w:tc>
          <w:tcPr>
            <w:tcW w:w="624" w:type="dxa"/>
          </w:tcPr>
          <w:p w14:paraId="3623D6E5" w14:textId="77777777" w:rsidR="00027DEB" w:rsidRDefault="00027DEB" w:rsidP="00C57C6F">
            <w:pPr>
              <w:pStyle w:val="TableText"/>
            </w:pPr>
          </w:p>
        </w:tc>
        <w:tc>
          <w:tcPr>
            <w:tcW w:w="4025" w:type="dxa"/>
            <w:gridSpan w:val="2"/>
          </w:tcPr>
          <w:p w14:paraId="17F7EC68" w14:textId="77777777" w:rsidR="00027DEB" w:rsidRDefault="00027DEB" w:rsidP="00C57C6F">
            <w:pPr>
              <w:pStyle w:val="TableBlock"/>
            </w:pPr>
            <w:r w:rsidRPr="00D31F27">
              <w:rPr>
                <w:rFonts w:hint="cs"/>
                <w:rtl/>
              </w:rPr>
              <w:t>(1)</w:t>
            </w:r>
            <w:r w:rsidRPr="00D31F27">
              <w:rPr>
                <w:rtl/>
              </w:rPr>
              <w:tab/>
            </w:r>
            <w:r w:rsidRPr="00D31F27">
              <w:rPr>
                <w:rFonts w:hint="cs"/>
                <w:rtl/>
              </w:rPr>
              <w:t>הוא לא הורשע בעבירה שמפאת מהותה, חומרתה או נסיבותיה הוא אינו ראוי לשמש כנאמן;</w:t>
            </w:r>
          </w:p>
        </w:tc>
      </w:tr>
      <w:tr w:rsidR="00027DEB" w14:paraId="6F2D62AC" w14:textId="77777777" w:rsidTr="00C57C6F">
        <w:trPr>
          <w:cantSplit/>
          <w:trHeight w:val="60"/>
        </w:trPr>
        <w:tc>
          <w:tcPr>
            <w:tcW w:w="1869" w:type="dxa"/>
          </w:tcPr>
          <w:p w14:paraId="15DE093D" w14:textId="77777777" w:rsidR="00027DEB" w:rsidRDefault="00027DEB" w:rsidP="00C57C6F">
            <w:pPr>
              <w:pStyle w:val="TableSideHeading"/>
            </w:pPr>
          </w:p>
        </w:tc>
        <w:tc>
          <w:tcPr>
            <w:tcW w:w="624" w:type="dxa"/>
          </w:tcPr>
          <w:p w14:paraId="021521E3" w14:textId="77777777" w:rsidR="00027DEB" w:rsidRDefault="00027DEB" w:rsidP="00C57C6F">
            <w:pPr>
              <w:pStyle w:val="TableText"/>
            </w:pPr>
          </w:p>
        </w:tc>
        <w:tc>
          <w:tcPr>
            <w:tcW w:w="624" w:type="dxa"/>
          </w:tcPr>
          <w:p w14:paraId="7FC1A1D5" w14:textId="77777777" w:rsidR="00027DEB" w:rsidRDefault="00027DEB" w:rsidP="00C57C6F">
            <w:pPr>
              <w:pStyle w:val="TableText"/>
            </w:pPr>
          </w:p>
        </w:tc>
        <w:tc>
          <w:tcPr>
            <w:tcW w:w="624" w:type="dxa"/>
          </w:tcPr>
          <w:p w14:paraId="426A5434" w14:textId="77777777" w:rsidR="00027DEB" w:rsidRDefault="00027DEB" w:rsidP="00C57C6F">
            <w:pPr>
              <w:pStyle w:val="TableText"/>
            </w:pPr>
          </w:p>
        </w:tc>
        <w:tc>
          <w:tcPr>
            <w:tcW w:w="624" w:type="dxa"/>
          </w:tcPr>
          <w:p w14:paraId="042D27FC" w14:textId="77777777" w:rsidR="00027DEB" w:rsidRDefault="00027DEB" w:rsidP="00C57C6F">
            <w:pPr>
              <w:pStyle w:val="TableText"/>
            </w:pPr>
          </w:p>
        </w:tc>
        <w:tc>
          <w:tcPr>
            <w:tcW w:w="624" w:type="dxa"/>
          </w:tcPr>
          <w:p w14:paraId="5363A0E6" w14:textId="77777777" w:rsidR="00027DEB" w:rsidRDefault="00027DEB" w:rsidP="00C57C6F">
            <w:pPr>
              <w:pStyle w:val="TableText"/>
            </w:pPr>
          </w:p>
        </w:tc>
        <w:tc>
          <w:tcPr>
            <w:tcW w:w="624" w:type="dxa"/>
          </w:tcPr>
          <w:p w14:paraId="302073CB" w14:textId="77777777" w:rsidR="00027DEB" w:rsidRDefault="00027DEB" w:rsidP="00C57C6F">
            <w:pPr>
              <w:pStyle w:val="TableText"/>
            </w:pPr>
          </w:p>
        </w:tc>
        <w:tc>
          <w:tcPr>
            <w:tcW w:w="4025" w:type="dxa"/>
            <w:gridSpan w:val="2"/>
          </w:tcPr>
          <w:p w14:paraId="6806FD39" w14:textId="77777777" w:rsidR="00027DEB" w:rsidRDefault="00027DEB" w:rsidP="00C57C6F">
            <w:pPr>
              <w:pStyle w:val="TableBlock"/>
            </w:pPr>
            <w:r w:rsidRPr="00D31F27">
              <w:rPr>
                <w:rFonts w:hint="cs"/>
                <w:rtl/>
              </w:rPr>
              <w:t>(2)</w:t>
            </w:r>
            <w:r w:rsidRPr="00D31F27">
              <w:rPr>
                <w:rtl/>
              </w:rPr>
              <w:tab/>
            </w:r>
            <w:r>
              <w:rPr>
                <w:rFonts w:hint="cs"/>
                <w:rtl/>
              </w:rPr>
              <w:t xml:space="preserve"> הוא אינו מעשן.</w:t>
            </w:r>
          </w:p>
        </w:tc>
      </w:tr>
      <w:tr w:rsidR="00027DEB" w14:paraId="0A849040" w14:textId="77777777" w:rsidTr="00C57C6F">
        <w:trPr>
          <w:cantSplit/>
          <w:trHeight w:val="60"/>
        </w:trPr>
        <w:tc>
          <w:tcPr>
            <w:tcW w:w="1869" w:type="dxa"/>
          </w:tcPr>
          <w:p w14:paraId="3B2F6110" w14:textId="77777777" w:rsidR="00027DEB" w:rsidRDefault="00027DEB" w:rsidP="00C57C6F">
            <w:pPr>
              <w:pStyle w:val="TableSideHeading"/>
            </w:pPr>
          </w:p>
        </w:tc>
        <w:tc>
          <w:tcPr>
            <w:tcW w:w="624" w:type="dxa"/>
          </w:tcPr>
          <w:p w14:paraId="23AB70F7" w14:textId="77777777" w:rsidR="00027DEB" w:rsidRDefault="00027DEB" w:rsidP="00C57C6F">
            <w:pPr>
              <w:pStyle w:val="TableText"/>
            </w:pPr>
          </w:p>
        </w:tc>
        <w:tc>
          <w:tcPr>
            <w:tcW w:w="624" w:type="dxa"/>
          </w:tcPr>
          <w:p w14:paraId="03197885" w14:textId="77777777" w:rsidR="00027DEB" w:rsidRDefault="00027DEB" w:rsidP="00C57C6F">
            <w:pPr>
              <w:pStyle w:val="TableText"/>
            </w:pPr>
          </w:p>
        </w:tc>
        <w:tc>
          <w:tcPr>
            <w:tcW w:w="624" w:type="dxa"/>
          </w:tcPr>
          <w:p w14:paraId="0331300E" w14:textId="77777777" w:rsidR="00027DEB" w:rsidRDefault="00027DEB" w:rsidP="00C57C6F">
            <w:pPr>
              <w:pStyle w:val="TableText"/>
            </w:pPr>
          </w:p>
        </w:tc>
        <w:tc>
          <w:tcPr>
            <w:tcW w:w="624" w:type="dxa"/>
          </w:tcPr>
          <w:p w14:paraId="110D433C" w14:textId="77777777" w:rsidR="00027DEB" w:rsidRDefault="00027DEB" w:rsidP="00C57C6F">
            <w:pPr>
              <w:pStyle w:val="TableText"/>
            </w:pPr>
          </w:p>
        </w:tc>
        <w:tc>
          <w:tcPr>
            <w:tcW w:w="624" w:type="dxa"/>
          </w:tcPr>
          <w:p w14:paraId="44D91D79" w14:textId="77777777" w:rsidR="00027DEB" w:rsidRDefault="00027DEB" w:rsidP="00C57C6F">
            <w:pPr>
              <w:pStyle w:val="TableText"/>
            </w:pPr>
          </w:p>
        </w:tc>
        <w:tc>
          <w:tcPr>
            <w:tcW w:w="4649" w:type="dxa"/>
            <w:gridSpan w:val="3"/>
          </w:tcPr>
          <w:p w14:paraId="584C8484" w14:textId="77777777" w:rsidR="00027DEB" w:rsidRDefault="00027DEB" w:rsidP="00C57C6F">
            <w:pPr>
              <w:pStyle w:val="TableBlock"/>
            </w:pPr>
            <w:r>
              <w:rPr>
                <w:rFonts w:hint="cs"/>
                <w:rtl/>
              </w:rPr>
              <w:t>(ג)</w:t>
            </w:r>
            <w:r>
              <w:rPr>
                <w:rtl/>
              </w:rPr>
              <w:tab/>
            </w:r>
            <w:r w:rsidRPr="003C16D3">
              <w:rPr>
                <w:rtl/>
              </w:rPr>
              <w:t xml:space="preserve">נאמן </w:t>
            </w:r>
            <w:r w:rsidRPr="003C16D3">
              <w:rPr>
                <w:rFonts w:hint="cs"/>
                <w:rtl/>
              </w:rPr>
              <w:t>מניעת עישון</w:t>
            </w:r>
            <w:r w:rsidRPr="003C16D3">
              <w:rPr>
                <w:rtl/>
              </w:rPr>
              <w:t xml:space="preserve"> שמונה כאמור</w:t>
            </w:r>
            <w:r w:rsidRPr="003C16D3">
              <w:rPr>
                <w:rFonts w:hint="cs"/>
                <w:rtl/>
              </w:rPr>
              <w:t>:</w:t>
            </w:r>
          </w:p>
        </w:tc>
      </w:tr>
      <w:tr w:rsidR="00027DEB" w14:paraId="2741A55C" w14:textId="77777777" w:rsidTr="00C57C6F">
        <w:trPr>
          <w:cantSplit/>
          <w:trHeight w:val="60"/>
        </w:trPr>
        <w:tc>
          <w:tcPr>
            <w:tcW w:w="1869" w:type="dxa"/>
          </w:tcPr>
          <w:p w14:paraId="1A9EA7FE" w14:textId="77777777" w:rsidR="00027DEB" w:rsidRPr="0046280E" w:rsidRDefault="00027DEB" w:rsidP="00C57C6F">
            <w:pPr>
              <w:pStyle w:val="TableSideHeading"/>
              <w:rPr>
                <w:highlight w:val="yellow"/>
              </w:rPr>
            </w:pPr>
          </w:p>
        </w:tc>
        <w:tc>
          <w:tcPr>
            <w:tcW w:w="624" w:type="dxa"/>
          </w:tcPr>
          <w:p w14:paraId="539F6C5A" w14:textId="77777777" w:rsidR="00027DEB" w:rsidRDefault="00027DEB" w:rsidP="00C57C6F">
            <w:pPr>
              <w:pStyle w:val="TableText"/>
            </w:pPr>
          </w:p>
        </w:tc>
        <w:tc>
          <w:tcPr>
            <w:tcW w:w="624" w:type="dxa"/>
          </w:tcPr>
          <w:p w14:paraId="260C9190" w14:textId="77777777" w:rsidR="00027DEB" w:rsidRDefault="00027DEB" w:rsidP="00C57C6F">
            <w:pPr>
              <w:pStyle w:val="TableText"/>
            </w:pPr>
          </w:p>
        </w:tc>
        <w:tc>
          <w:tcPr>
            <w:tcW w:w="624" w:type="dxa"/>
          </w:tcPr>
          <w:p w14:paraId="4B39051F" w14:textId="77777777" w:rsidR="00027DEB" w:rsidRDefault="00027DEB" w:rsidP="00C57C6F">
            <w:pPr>
              <w:pStyle w:val="TableText"/>
            </w:pPr>
          </w:p>
        </w:tc>
        <w:tc>
          <w:tcPr>
            <w:tcW w:w="624" w:type="dxa"/>
          </w:tcPr>
          <w:p w14:paraId="65865EDC" w14:textId="77777777" w:rsidR="00027DEB" w:rsidRDefault="00027DEB" w:rsidP="00C57C6F">
            <w:pPr>
              <w:pStyle w:val="TableText"/>
            </w:pPr>
          </w:p>
        </w:tc>
        <w:tc>
          <w:tcPr>
            <w:tcW w:w="624" w:type="dxa"/>
          </w:tcPr>
          <w:p w14:paraId="6EF20DA3" w14:textId="77777777" w:rsidR="00027DEB" w:rsidRDefault="00027DEB" w:rsidP="00C57C6F">
            <w:pPr>
              <w:pStyle w:val="TableText"/>
            </w:pPr>
          </w:p>
        </w:tc>
        <w:tc>
          <w:tcPr>
            <w:tcW w:w="624" w:type="dxa"/>
          </w:tcPr>
          <w:p w14:paraId="57021FBF" w14:textId="77777777" w:rsidR="00027DEB" w:rsidRDefault="00027DEB" w:rsidP="00C57C6F">
            <w:pPr>
              <w:pStyle w:val="TableText"/>
            </w:pPr>
          </w:p>
        </w:tc>
        <w:tc>
          <w:tcPr>
            <w:tcW w:w="4025" w:type="dxa"/>
            <w:gridSpan w:val="2"/>
          </w:tcPr>
          <w:p w14:paraId="0788D435" w14:textId="77777777" w:rsidR="00027DEB" w:rsidRDefault="00027DEB" w:rsidP="00C57C6F">
            <w:pPr>
              <w:pStyle w:val="TableBlock"/>
            </w:pPr>
            <w:r>
              <w:rPr>
                <w:rFonts w:hint="cs"/>
                <w:rtl/>
              </w:rPr>
              <w:t>(1)</w:t>
            </w:r>
            <w:r>
              <w:rPr>
                <w:rtl/>
              </w:rPr>
              <w:tab/>
            </w:r>
            <w:r w:rsidRPr="003C16D3">
              <w:rPr>
                <w:rtl/>
              </w:rPr>
              <w:t xml:space="preserve">רשאי, לאחר שהציג תעודת מינויו כנאמן </w:t>
            </w:r>
            <w:r w:rsidRPr="003C16D3">
              <w:rPr>
                <w:rFonts w:hint="cs"/>
                <w:rtl/>
              </w:rPr>
              <w:t>מניעת עישון</w:t>
            </w:r>
            <w:r w:rsidRPr="003C16D3">
              <w:rPr>
                <w:rtl/>
              </w:rPr>
              <w:t>, לדרוש ממי שעבר לנגד עיניו עבירה על חוק זה להזדהות בפניו; מי שנדרש להזדהות כאמור חייב לעשות כן</w:t>
            </w:r>
            <w:r>
              <w:rPr>
                <w:rFonts w:hint="cs"/>
                <w:rtl/>
              </w:rPr>
              <w:t>;</w:t>
            </w:r>
          </w:p>
        </w:tc>
      </w:tr>
      <w:tr w:rsidR="00027DEB" w14:paraId="7702CEBD" w14:textId="77777777" w:rsidTr="00C57C6F">
        <w:trPr>
          <w:cantSplit/>
          <w:trHeight w:val="60"/>
        </w:trPr>
        <w:tc>
          <w:tcPr>
            <w:tcW w:w="1869" w:type="dxa"/>
          </w:tcPr>
          <w:p w14:paraId="1C71856D" w14:textId="77777777" w:rsidR="00027DEB" w:rsidRPr="0046280E" w:rsidRDefault="00027DEB" w:rsidP="00C57C6F">
            <w:pPr>
              <w:pStyle w:val="TableSideHeading"/>
              <w:rPr>
                <w:highlight w:val="yellow"/>
                <w:rtl/>
              </w:rPr>
            </w:pPr>
          </w:p>
        </w:tc>
        <w:tc>
          <w:tcPr>
            <w:tcW w:w="624" w:type="dxa"/>
          </w:tcPr>
          <w:p w14:paraId="4A18799E" w14:textId="77777777" w:rsidR="00027DEB" w:rsidRDefault="00027DEB" w:rsidP="00C57C6F">
            <w:pPr>
              <w:pStyle w:val="TableText"/>
            </w:pPr>
          </w:p>
        </w:tc>
        <w:tc>
          <w:tcPr>
            <w:tcW w:w="624" w:type="dxa"/>
          </w:tcPr>
          <w:p w14:paraId="27FE8621" w14:textId="77777777" w:rsidR="00027DEB" w:rsidRDefault="00027DEB" w:rsidP="00C57C6F">
            <w:pPr>
              <w:pStyle w:val="TableText"/>
            </w:pPr>
          </w:p>
        </w:tc>
        <w:tc>
          <w:tcPr>
            <w:tcW w:w="624" w:type="dxa"/>
          </w:tcPr>
          <w:p w14:paraId="6A6C70C2" w14:textId="77777777" w:rsidR="00027DEB" w:rsidRDefault="00027DEB" w:rsidP="00C57C6F">
            <w:pPr>
              <w:pStyle w:val="TableText"/>
            </w:pPr>
          </w:p>
        </w:tc>
        <w:tc>
          <w:tcPr>
            <w:tcW w:w="624" w:type="dxa"/>
          </w:tcPr>
          <w:p w14:paraId="5D2EBB56" w14:textId="77777777" w:rsidR="00027DEB" w:rsidRDefault="00027DEB" w:rsidP="00C57C6F">
            <w:pPr>
              <w:pStyle w:val="TableText"/>
            </w:pPr>
          </w:p>
        </w:tc>
        <w:tc>
          <w:tcPr>
            <w:tcW w:w="624" w:type="dxa"/>
          </w:tcPr>
          <w:p w14:paraId="64D5AB8E" w14:textId="77777777" w:rsidR="00027DEB" w:rsidRDefault="00027DEB" w:rsidP="00C57C6F">
            <w:pPr>
              <w:pStyle w:val="TableText"/>
            </w:pPr>
          </w:p>
        </w:tc>
        <w:tc>
          <w:tcPr>
            <w:tcW w:w="624" w:type="dxa"/>
          </w:tcPr>
          <w:p w14:paraId="74235434" w14:textId="77777777" w:rsidR="00027DEB" w:rsidRDefault="00027DEB" w:rsidP="00C57C6F">
            <w:pPr>
              <w:pStyle w:val="TableText"/>
            </w:pPr>
          </w:p>
        </w:tc>
        <w:tc>
          <w:tcPr>
            <w:tcW w:w="4025" w:type="dxa"/>
            <w:gridSpan w:val="2"/>
          </w:tcPr>
          <w:p w14:paraId="0A624522" w14:textId="77777777" w:rsidR="00027DEB" w:rsidRDefault="00027DEB" w:rsidP="00C57C6F">
            <w:pPr>
              <w:pStyle w:val="TableBlock"/>
              <w:rPr>
                <w:rtl/>
              </w:rPr>
            </w:pPr>
            <w:r>
              <w:rPr>
                <w:rFonts w:hint="cs"/>
                <w:rtl/>
              </w:rPr>
              <w:t>(2)</w:t>
            </w:r>
            <w:r>
              <w:rPr>
                <w:rtl/>
              </w:rPr>
              <w:tab/>
            </w:r>
            <w:r w:rsidRPr="003C16D3">
              <w:rPr>
                <w:rFonts w:hint="cs"/>
                <w:rtl/>
              </w:rPr>
              <w:t xml:space="preserve">ידווח למשרד הבריאות על מחזיק של מקום ציבורי שמפר את הוראות </w:t>
            </w:r>
            <w:r w:rsidRPr="00E5101F">
              <w:rPr>
                <w:rFonts w:hint="cs"/>
                <w:rtl/>
              </w:rPr>
              <w:t>סעיף 2</w:t>
            </w:r>
            <w:r w:rsidRPr="003C16D3">
              <w:rPr>
                <w:rFonts w:hint="cs"/>
                <w:rtl/>
              </w:rPr>
              <w:t xml:space="preserve">, 2א, או 2ב, </w:t>
            </w:r>
            <w:r>
              <w:rPr>
                <w:rFonts w:hint="cs"/>
                <w:rtl/>
              </w:rPr>
              <w:t>ו</w:t>
            </w:r>
            <w:r w:rsidRPr="003C16D3">
              <w:rPr>
                <w:rFonts w:hint="cs"/>
                <w:rtl/>
              </w:rPr>
              <w:t>על נושא משרה בתאגיד שהוא המחזיק</w:t>
            </w:r>
            <w:r>
              <w:rPr>
                <w:rFonts w:hint="cs"/>
                <w:rtl/>
              </w:rPr>
              <w:t xml:space="preserve"> של המקום שמפר את הוראות סעיף 5.</w:t>
            </w:r>
          </w:p>
        </w:tc>
      </w:tr>
      <w:tr w:rsidR="00027DEB" w14:paraId="381B9459" w14:textId="77777777" w:rsidTr="00C57C6F">
        <w:trPr>
          <w:cantSplit/>
          <w:trHeight w:val="60"/>
        </w:trPr>
        <w:tc>
          <w:tcPr>
            <w:tcW w:w="1869" w:type="dxa"/>
          </w:tcPr>
          <w:p w14:paraId="41C21B00" w14:textId="77777777" w:rsidR="00027DEB" w:rsidRDefault="00027DEB" w:rsidP="00C57C6F">
            <w:pPr>
              <w:pStyle w:val="TableSideHeading"/>
              <w:rPr>
                <w:rtl/>
              </w:rPr>
            </w:pPr>
          </w:p>
        </w:tc>
        <w:tc>
          <w:tcPr>
            <w:tcW w:w="624" w:type="dxa"/>
          </w:tcPr>
          <w:p w14:paraId="4E92B008" w14:textId="77777777" w:rsidR="00027DEB" w:rsidRDefault="00027DEB" w:rsidP="00C57C6F">
            <w:pPr>
              <w:pStyle w:val="TableText"/>
            </w:pPr>
          </w:p>
        </w:tc>
        <w:tc>
          <w:tcPr>
            <w:tcW w:w="624" w:type="dxa"/>
          </w:tcPr>
          <w:p w14:paraId="6C78055C" w14:textId="77777777" w:rsidR="00027DEB" w:rsidRDefault="00027DEB" w:rsidP="00C57C6F">
            <w:pPr>
              <w:pStyle w:val="TableText"/>
            </w:pPr>
          </w:p>
        </w:tc>
        <w:tc>
          <w:tcPr>
            <w:tcW w:w="624" w:type="dxa"/>
          </w:tcPr>
          <w:p w14:paraId="53728E2F" w14:textId="77777777" w:rsidR="00027DEB" w:rsidRDefault="00027DEB" w:rsidP="00C57C6F">
            <w:pPr>
              <w:pStyle w:val="TableText"/>
            </w:pPr>
          </w:p>
        </w:tc>
        <w:tc>
          <w:tcPr>
            <w:tcW w:w="624" w:type="dxa"/>
          </w:tcPr>
          <w:p w14:paraId="6CC59356" w14:textId="77777777" w:rsidR="00027DEB" w:rsidRDefault="00027DEB" w:rsidP="00C57C6F">
            <w:pPr>
              <w:pStyle w:val="TableText"/>
            </w:pPr>
          </w:p>
        </w:tc>
        <w:tc>
          <w:tcPr>
            <w:tcW w:w="624" w:type="dxa"/>
          </w:tcPr>
          <w:p w14:paraId="72B24A84" w14:textId="77777777" w:rsidR="00027DEB" w:rsidRDefault="00027DEB" w:rsidP="00C57C6F">
            <w:pPr>
              <w:pStyle w:val="TableText"/>
            </w:pPr>
          </w:p>
        </w:tc>
        <w:tc>
          <w:tcPr>
            <w:tcW w:w="4649" w:type="dxa"/>
            <w:gridSpan w:val="3"/>
          </w:tcPr>
          <w:p w14:paraId="3CE1A8F5" w14:textId="4CD48947" w:rsidR="00027DEB" w:rsidRDefault="00027DEB" w:rsidP="00C57C6F">
            <w:pPr>
              <w:pStyle w:val="TableBlock"/>
              <w:rPr>
                <w:rtl/>
              </w:rPr>
            </w:pPr>
            <w:r>
              <w:rPr>
                <w:rFonts w:hint="cs"/>
                <w:rtl/>
              </w:rPr>
              <w:t>(ד)</w:t>
            </w:r>
            <w:r>
              <w:rPr>
                <w:rtl/>
              </w:rPr>
              <w:tab/>
            </w:r>
            <w:r w:rsidRPr="005577F3">
              <w:rPr>
                <w:rFonts w:hint="cs"/>
                <w:rtl/>
              </w:rPr>
              <w:t>משרד הבריאות יקים מערך נאמני מניעת עישון, יקבל דיווחים של נאמני מניעת עישון, יבחן את הדיווחים וישלח הודעות תשלום קנס לפי סעיף 228(ב) לחוק סדר הדין הפלילי למחזיק של מקום ציבורי בגין הפרת הוראות סעיף 2, 2א, או 2ב, לנושא משרה בתאגיד שהוא המחזיק של המקום בגין הפרת הוראות סעיף 5; ואולם</w:t>
            </w:r>
            <w:r w:rsidR="00C57C6F">
              <w:rPr>
                <w:rFonts w:hint="cs"/>
                <w:rtl/>
              </w:rPr>
              <w:t>,</w:t>
            </w:r>
            <w:r w:rsidRPr="005577F3">
              <w:rPr>
                <w:rFonts w:hint="cs"/>
                <w:rtl/>
              </w:rPr>
              <w:t xml:space="preserve"> אם נעברה העבירה בפעם השלישית ואילך בתוך שנתיים, ישלח משרד הבריאות הזמנה למשפט לפי האמור בסעיף 4א.</w:t>
            </w:r>
            <w:r>
              <w:rPr>
                <w:rFonts w:hint="cs"/>
                <w:rtl/>
              </w:rPr>
              <w:t>"</w:t>
            </w:r>
          </w:p>
        </w:tc>
      </w:tr>
      <w:tr w:rsidR="00027DEB" w:rsidRPr="003C16D3" w14:paraId="42A884E7" w14:textId="77777777" w:rsidTr="00C57C6F">
        <w:trPr>
          <w:cantSplit/>
        </w:trPr>
        <w:tc>
          <w:tcPr>
            <w:tcW w:w="1869" w:type="dxa"/>
          </w:tcPr>
          <w:p w14:paraId="1516EFE7" w14:textId="3DB73948" w:rsidR="00027DEB" w:rsidRPr="003C16D3" w:rsidRDefault="00C57C6F" w:rsidP="00C57C6F">
            <w:pPr>
              <w:pStyle w:val="TableSideHeading"/>
              <w:keepLines w:val="0"/>
              <w:ind w:left="57" w:right="0"/>
              <w:rPr>
                <w:rtl/>
              </w:rPr>
            </w:pPr>
            <w:r>
              <w:rPr>
                <w:rFonts w:hint="cs"/>
                <w:rtl/>
              </w:rPr>
              <w:t>ביטול</w:t>
            </w:r>
            <w:r w:rsidR="00027DEB">
              <w:rPr>
                <w:rFonts w:hint="cs"/>
                <w:rtl/>
              </w:rPr>
              <w:t xml:space="preserve"> סעיף 7</w:t>
            </w:r>
          </w:p>
        </w:tc>
        <w:tc>
          <w:tcPr>
            <w:tcW w:w="624" w:type="dxa"/>
          </w:tcPr>
          <w:p w14:paraId="2BFE3508" w14:textId="77777777" w:rsidR="00027DEB" w:rsidRPr="009F682B" w:rsidRDefault="00027DEB" w:rsidP="00C57C6F">
            <w:pPr>
              <w:pStyle w:val="TableBlock"/>
              <w:rPr>
                <w:rtl/>
              </w:rPr>
            </w:pPr>
            <w:r>
              <w:rPr>
                <w:rFonts w:hint="cs"/>
                <w:rtl/>
              </w:rPr>
              <w:t>12.</w:t>
            </w:r>
          </w:p>
        </w:tc>
        <w:tc>
          <w:tcPr>
            <w:tcW w:w="7145" w:type="dxa"/>
            <w:gridSpan w:val="7"/>
          </w:tcPr>
          <w:p w14:paraId="52452BA7" w14:textId="380CE922" w:rsidR="00027DEB" w:rsidRPr="003C16D3" w:rsidRDefault="00027DEB" w:rsidP="00C57C6F">
            <w:pPr>
              <w:pStyle w:val="TableBlock"/>
              <w:rPr>
                <w:rtl/>
              </w:rPr>
            </w:pPr>
            <w:r>
              <w:rPr>
                <w:rFonts w:hint="cs"/>
                <w:rtl/>
              </w:rPr>
              <w:t xml:space="preserve">סעיף 7 לחוק העיקרי </w:t>
            </w:r>
            <w:r>
              <w:rPr>
                <w:rtl/>
              </w:rPr>
              <w:t>–</w:t>
            </w:r>
            <w:r>
              <w:rPr>
                <w:rFonts w:hint="cs"/>
                <w:rtl/>
              </w:rPr>
              <w:t xml:space="preserve"> </w:t>
            </w:r>
            <w:r w:rsidR="00C57C6F">
              <w:rPr>
                <w:rFonts w:hint="cs"/>
                <w:rtl/>
              </w:rPr>
              <w:t>בטל</w:t>
            </w:r>
            <w:r>
              <w:rPr>
                <w:rFonts w:hint="cs"/>
                <w:rtl/>
              </w:rPr>
              <w:t>.</w:t>
            </w:r>
          </w:p>
        </w:tc>
      </w:tr>
      <w:tr w:rsidR="00027DEB" w:rsidRPr="003C16D3" w14:paraId="15AE4867" w14:textId="77777777" w:rsidTr="00C57C6F">
        <w:trPr>
          <w:cantSplit/>
        </w:trPr>
        <w:tc>
          <w:tcPr>
            <w:tcW w:w="1869" w:type="dxa"/>
          </w:tcPr>
          <w:p w14:paraId="55FF6696" w14:textId="77777777" w:rsidR="00027DEB" w:rsidRPr="003C16D3" w:rsidRDefault="00027DEB" w:rsidP="00C57C6F">
            <w:pPr>
              <w:pStyle w:val="TableSideHeading"/>
              <w:keepLines w:val="0"/>
              <w:ind w:left="57" w:right="0"/>
              <w:rPr>
                <w:rtl/>
              </w:rPr>
            </w:pPr>
            <w:r>
              <w:rPr>
                <w:rFonts w:hint="cs"/>
                <w:rtl/>
              </w:rPr>
              <w:t>הוספת סעיף 7א</w:t>
            </w:r>
          </w:p>
        </w:tc>
        <w:tc>
          <w:tcPr>
            <w:tcW w:w="624" w:type="dxa"/>
          </w:tcPr>
          <w:p w14:paraId="420F6C12" w14:textId="77777777" w:rsidR="00027DEB" w:rsidRDefault="00027DEB" w:rsidP="00C57C6F">
            <w:pPr>
              <w:pStyle w:val="TableText"/>
              <w:rPr>
                <w:rtl/>
              </w:rPr>
            </w:pPr>
            <w:r>
              <w:rPr>
                <w:rFonts w:hint="cs"/>
                <w:rtl/>
              </w:rPr>
              <w:t>13.</w:t>
            </w:r>
          </w:p>
        </w:tc>
        <w:tc>
          <w:tcPr>
            <w:tcW w:w="7145" w:type="dxa"/>
            <w:gridSpan w:val="7"/>
          </w:tcPr>
          <w:p w14:paraId="64B1D7BD" w14:textId="77777777" w:rsidR="00027DEB" w:rsidRDefault="00027DEB" w:rsidP="00C57C6F">
            <w:pPr>
              <w:pStyle w:val="TableBlock"/>
              <w:rPr>
                <w:rtl/>
              </w:rPr>
            </w:pPr>
            <w:r>
              <w:rPr>
                <w:rFonts w:hint="cs"/>
                <w:rtl/>
              </w:rPr>
              <w:t>אחרי</w:t>
            </w:r>
            <w:r w:rsidRPr="000733D4">
              <w:rPr>
                <w:rFonts w:hint="cs"/>
                <w:rtl/>
              </w:rPr>
              <w:t xml:space="preserve"> סעיף 7 לחוק העיקרי יבוא:</w:t>
            </w:r>
          </w:p>
        </w:tc>
      </w:tr>
      <w:tr w:rsidR="00027DEB" w14:paraId="4E691123" w14:textId="77777777" w:rsidTr="00C57C6F">
        <w:trPr>
          <w:cantSplit/>
          <w:trHeight w:val="60"/>
        </w:trPr>
        <w:tc>
          <w:tcPr>
            <w:tcW w:w="1869" w:type="dxa"/>
          </w:tcPr>
          <w:p w14:paraId="5A1C499E" w14:textId="77777777" w:rsidR="00027DEB" w:rsidRDefault="00027DEB" w:rsidP="00C57C6F">
            <w:pPr>
              <w:pStyle w:val="TableSideHeading"/>
              <w:keepLines w:val="0"/>
            </w:pPr>
          </w:p>
        </w:tc>
        <w:tc>
          <w:tcPr>
            <w:tcW w:w="624" w:type="dxa"/>
          </w:tcPr>
          <w:p w14:paraId="0A412711" w14:textId="77777777" w:rsidR="00027DEB" w:rsidRDefault="00027DEB" w:rsidP="00C57C6F">
            <w:pPr>
              <w:pStyle w:val="TableText"/>
              <w:keepLines w:val="0"/>
            </w:pPr>
          </w:p>
        </w:tc>
        <w:tc>
          <w:tcPr>
            <w:tcW w:w="1872" w:type="dxa"/>
            <w:gridSpan w:val="3"/>
          </w:tcPr>
          <w:p w14:paraId="0084638A" w14:textId="77777777" w:rsidR="00027DEB" w:rsidRDefault="00027DEB" w:rsidP="00C57C6F">
            <w:pPr>
              <w:pStyle w:val="TableInnerSideHeading"/>
            </w:pPr>
            <w:r w:rsidRPr="007E0BD9">
              <w:rPr>
                <w:rFonts w:hint="cs"/>
                <w:rtl/>
              </w:rPr>
              <w:t>"סמכויות שוטר ומפקח</w:t>
            </w:r>
          </w:p>
        </w:tc>
        <w:tc>
          <w:tcPr>
            <w:tcW w:w="624" w:type="dxa"/>
          </w:tcPr>
          <w:p w14:paraId="71EB469F" w14:textId="77777777" w:rsidR="00027DEB" w:rsidRDefault="00027DEB" w:rsidP="00C57C6F">
            <w:pPr>
              <w:pStyle w:val="TableText"/>
            </w:pPr>
            <w:r>
              <w:rPr>
                <w:rFonts w:hint="cs"/>
                <w:rtl/>
              </w:rPr>
              <w:t>7א.</w:t>
            </w:r>
          </w:p>
        </w:tc>
        <w:tc>
          <w:tcPr>
            <w:tcW w:w="4649" w:type="dxa"/>
            <w:gridSpan w:val="3"/>
          </w:tcPr>
          <w:p w14:paraId="6A014961" w14:textId="77777777" w:rsidR="00027DEB" w:rsidRDefault="00027DEB" w:rsidP="00C57C6F">
            <w:pPr>
              <w:pStyle w:val="TableBlock"/>
            </w:pPr>
            <w:r>
              <w:rPr>
                <w:rFonts w:hint="cs"/>
                <w:rtl/>
              </w:rPr>
              <w:t>(א)</w:t>
            </w:r>
            <w:r>
              <w:rPr>
                <w:rtl/>
              </w:rPr>
              <w:tab/>
            </w:r>
            <w:r>
              <w:rPr>
                <w:rFonts w:hint="cs"/>
                <w:rtl/>
              </w:rPr>
              <w:t>ל</w:t>
            </w:r>
            <w:r w:rsidRPr="003C16D3">
              <w:rPr>
                <w:rFonts w:hint="cs"/>
                <w:rtl/>
              </w:rPr>
              <w:t xml:space="preserve">שם פיקוח על ביצוע הוראות חוק זה, רשאים שוטר וכן מפקח </w:t>
            </w:r>
            <w:r>
              <w:rPr>
                <w:rFonts w:hint="eastAsia"/>
                <w:rtl/>
              </w:rPr>
              <w:t>–</w:t>
            </w:r>
          </w:p>
        </w:tc>
      </w:tr>
      <w:tr w:rsidR="00027DEB" w14:paraId="0619DB60" w14:textId="77777777" w:rsidTr="00C57C6F">
        <w:trPr>
          <w:cantSplit/>
          <w:trHeight w:val="60"/>
        </w:trPr>
        <w:tc>
          <w:tcPr>
            <w:tcW w:w="1869" w:type="dxa"/>
          </w:tcPr>
          <w:p w14:paraId="2FC35211" w14:textId="77777777" w:rsidR="00027DEB" w:rsidRDefault="00027DEB" w:rsidP="00C57C6F">
            <w:pPr>
              <w:pStyle w:val="TableSideHeading"/>
            </w:pPr>
          </w:p>
        </w:tc>
        <w:tc>
          <w:tcPr>
            <w:tcW w:w="624" w:type="dxa"/>
          </w:tcPr>
          <w:p w14:paraId="733034A8" w14:textId="77777777" w:rsidR="00027DEB" w:rsidRDefault="00027DEB" w:rsidP="00C57C6F">
            <w:pPr>
              <w:pStyle w:val="TableText"/>
            </w:pPr>
          </w:p>
        </w:tc>
        <w:tc>
          <w:tcPr>
            <w:tcW w:w="624" w:type="dxa"/>
          </w:tcPr>
          <w:p w14:paraId="1B61131C" w14:textId="77777777" w:rsidR="00027DEB" w:rsidRDefault="00027DEB" w:rsidP="00C57C6F">
            <w:pPr>
              <w:pStyle w:val="TableText"/>
            </w:pPr>
          </w:p>
        </w:tc>
        <w:tc>
          <w:tcPr>
            <w:tcW w:w="624" w:type="dxa"/>
          </w:tcPr>
          <w:p w14:paraId="7626D93C" w14:textId="77777777" w:rsidR="00027DEB" w:rsidRDefault="00027DEB" w:rsidP="00C57C6F">
            <w:pPr>
              <w:pStyle w:val="TableText"/>
            </w:pPr>
          </w:p>
        </w:tc>
        <w:tc>
          <w:tcPr>
            <w:tcW w:w="624" w:type="dxa"/>
          </w:tcPr>
          <w:p w14:paraId="4B68B840" w14:textId="77777777" w:rsidR="00027DEB" w:rsidRDefault="00027DEB" w:rsidP="00C57C6F">
            <w:pPr>
              <w:pStyle w:val="TableText"/>
            </w:pPr>
          </w:p>
        </w:tc>
        <w:tc>
          <w:tcPr>
            <w:tcW w:w="624" w:type="dxa"/>
          </w:tcPr>
          <w:p w14:paraId="0B7146FF" w14:textId="77777777" w:rsidR="00027DEB" w:rsidRDefault="00027DEB" w:rsidP="00C57C6F">
            <w:pPr>
              <w:pStyle w:val="TableText"/>
            </w:pPr>
          </w:p>
        </w:tc>
        <w:tc>
          <w:tcPr>
            <w:tcW w:w="624" w:type="dxa"/>
          </w:tcPr>
          <w:p w14:paraId="13BD4CA7" w14:textId="77777777" w:rsidR="00027DEB" w:rsidRDefault="00027DEB" w:rsidP="00C57C6F">
            <w:pPr>
              <w:pStyle w:val="TableText"/>
            </w:pPr>
          </w:p>
        </w:tc>
        <w:tc>
          <w:tcPr>
            <w:tcW w:w="4025" w:type="dxa"/>
            <w:gridSpan w:val="2"/>
          </w:tcPr>
          <w:p w14:paraId="603255FE" w14:textId="77777777" w:rsidR="00027DEB" w:rsidRDefault="00027DEB" w:rsidP="00C57C6F">
            <w:pPr>
              <w:pStyle w:val="TableBlock"/>
            </w:pPr>
            <w:r>
              <w:rPr>
                <w:rFonts w:hint="cs"/>
                <w:rtl/>
              </w:rPr>
              <w:t>(1)</w:t>
            </w:r>
            <w:r>
              <w:rPr>
                <w:rtl/>
              </w:rPr>
              <w:tab/>
            </w:r>
            <w:r w:rsidRPr="003C16D3">
              <w:rPr>
                <w:rFonts w:hint="cs"/>
                <w:rtl/>
              </w:rPr>
              <w:t>להיכנס לכל מקום ציבורי כדי לברר אם קוימו הוראות חוק זה והתקנות לפיו</w:t>
            </w:r>
            <w:r w:rsidRPr="003C16D3">
              <w:rPr>
                <w:rtl/>
              </w:rPr>
              <w:t>;</w:t>
            </w:r>
          </w:p>
        </w:tc>
      </w:tr>
      <w:tr w:rsidR="00027DEB" w14:paraId="639F0D00" w14:textId="77777777" w:rsidTr="00C57C6F">
        <w:trPr>
          <w:cantSplit/>
          <w:trHeight w:val="60"/>
        </w:trPr>
        <w:tc>
          <w:tcPr>
            <w:tcW w:w="1869" w:type="dxa"/>
          </w:tcPr>
          <w:p w14:paraId="2901AD25" w14:textId="77777777" w:rsidR="00027DEB" w:rsidRDefault="00027DEB" w:rsidP="00C57C6F">
            <w:pPr>
              <w:pStyle w:val="TableSideHeading"/>
              <w:rPr>
                <w:rtl/>
              </w:rPr>
            </w:pPr>
          </w:p>
        </w:tc>
        <w:tc>
          <w:tcPr>
            <w:tcW w:w="624" w:type="dxa"/>
          </w:tcPr>
          <w:p w14:paraId="405C31EB" w14:textId="77777777" w:rsidR="00027DEB" w:rsidRDefault="00027DEB" w:rsidP="00C57C6F">
            <w:pPr>
              <w:pStyle w:val="TableText"/>
            </w:pPr>
          </w:p>
        </w:tc>
        <w:tc>
          <w:tcPr>
            <w:tcW w:w="624" w:type="dxa"/>
          </w:tcPr>
          <w:p w14:paraId="2BF3D72B" w14:textId="77777777" w:rsidR="00027DEB" w:rsidRDefault="00027DEB" w:rsidP="00C57C6F">
            <w:pPr>
              <w:pStyle w:val="TableText"/>
            </w:pPr>
          </w:p>
        </w:tc>
        <w:tc>
          <w:tcPr>
            <w:tcW w:w="624" w:type="dxa"/>
          </w:tcPr>
          <w:p w14:paraId="44925B72" w14:textId="77777777" w:rsidR="00027DEB" w:rsidRDefault="00027DEB" w:rsidP="00C57C6F">
            <w:pPr>
              <w:pStyle w:val="TableText"/>
            </w:pPr>
          </w:p>
        </w:tc>
        <w:tc>
          <w:tcPr>
            <w:tcW w:w="624" w:type="dxa"/>
          </w:tcPr>
          <w:p w14:paraId="3DCB018D" w14:textId="77777777" w:rsidR="00027DEB" w:rsidRDefault="00027DEB" w:rsidP="00C57C6F">
            <w:pPr>
              <w:pStyle w:val="TableText"/>
            </w:pPr>
          </w:p>
        </w:tc>
        <w:tc>
          <w:tcPr>
            <w:tcW w:w="624" w:type="dxa"/>
          </w:tcPr>
          <w:p w14:paraId="30074F99" w14:textId="77777777" w:rsidR="00027DEB" w:rsidRDefault="00027DEB" w:rsidP="00C57C6F">
            <w:pPr>
              <w:pStyle w:val="TableText"/>
            </w:pPr>
          </w:p>
        </w:tc>
        <w:tc>
          <w:tcPr>
            <w:tcW w:w="624" w:type="dxa"/>
          </w:tcPr>
          <w:p w14:paraId="23855E1A" w14:textId="77777777" w:rsidR="00027DEB" w:rsidRDefault="00027DEB" w:rsidP="00C57C6F">
            <w:pPr>
              <w:pStyle w:val="TableText"/>
            </w:pPr>
          </w:p>
        </w:tc>
        <w:tc>
          <w:tcPr>
            <w:tcW w:w="4025" w:type="dxa"/>
            <w:gridSpan w:val="2"/>
          </w:tcPr>
          <w:p w14:paraId="4E77C3CA" w14:textId="77777777" w:rsidR="00027DEB" w:rsidRDefault="00027DEB" w:rsidP="00C57C6F">
            <w:pPr>
              <w:pStyle w:val="TableBlock"/>
              <w:rPr>
                <w:rtl/>
              </w:rPr>
            </w:pPr>
            <w:r>
              <w:rPr>
                <w:rFonts w:hint="cs"/>
                <w:rtl/>
              </w:rPr>
              <w:t>(2)</w:t>
            </w:r>
            <w:r>
              <w:rPr>
                <w:rtl/>
              </w:rPr>
              <w:tab/>
            </w:r>
            <w:r w:rsidRPr="003C16D3">
              <w:rPr>
                <w:rtl/>
              </w:rPr>
              <w:t>לדרוש מכל אדם למסור לו את שמו ואת מענו ולהציג לפניו תעודת זהות או תעודה רשמית אחרת המזהה אותו;</w:t>
            </w:r>
          </w:p>
        </w:tc>
      </w:tr>
      <w:tr w:rsidR="00027DEB" w14:paraId="73DDA858" w14:textId="77777777" w:rsidTr="00C57C6F">
        <w:trPr>
          <w:cantSplit/>
          <w:trHeight w:val="60"/>
        </w:trPr>
        <w:tc>
          <w:tcPr>
            <w:tcW w:w="1869" w:type="dxa"/>
          </w:tcPr>
          <w:p w14:paraId="67C29310" w14:textId="77777777" w:rsidR="00027DEB" w:rsidRDefault="00027DEB" w:rsidP="00C57C6F">
            <w:pPr>
              <w:pStyle w:val="TableSideHeading"/>
              <w:rPr>
                <w:rtl/>
              </w:rPr>
            </w:pPr>
          </w:p>
        </w:tc>
        <w:tc>
          <w:tcPr>
            <w:tcW w:w="624" w:type="dxa"/>
          </w:tcPr>
          <w:p w14:paraId="2E90B364" w14:textId="77777777" w:rsidR="00027DEB" w:rsidRDefault="00027DEB" w:rsidP="00C57C6F">
            <w:pPr>
              <w:pStyle w:val="TableText"/>
            </w:pPr>
          </w:p>
        </w:tc>
        <w:tc>
          <w:tcPr>
            <w:tcW w:w="624" w:type="dxa"/>
          </w:tcPr>
          <w:p w14:paraId="003ED05C" w14:textId="77777777" w:rsidR="00027DEB" w:rsidRDefault="00027DEB" w:rsidP="00C57C6F">
            <w:pPr>
              <w:pStyle w:val="TableText"/>
            </w:pPr>
          </w:p>
        </w:tc>
        <w:tc>
          <w:tcPr>
            <w:tcW w:w="624" w:type="dxa"/>
          </w:tcPr>
          <w:p w14:paraId="04CC0269" w14:textId="77777777" w:rsidR="00027DEB" w:rsidRDefault="00027DEB" w:rsidP="00C57C6F">
            <w:pPr>
              <w:pStyle w:val="TableText"/>
            </w:pPr>
          </w:p>
        </w:tc>
        <w:tc>
          <w:tcPr>
            <w:tcW w:w="624" w:type="dxa"/>
          </w:tcPr>
          <w:p w14:paraId="21853756" w14:textId="77777777" w:rsidR="00027DEB" w:rsidRDefault="00027DEB" w:rsidP="00C57C6F">
            <w:pPr>
              <w:pStyle w:val="TableText"/>
            </w:pPr>
          </w:p>
        </w:tc>
        <w:tc>
          <w:tcPr>
            <w:tcW w:w="624" w:type="dxa"/>
          </w:tcPr>
          <w:p w14:paraId="0EA8A124" w14:textId="77777777" w:rsidR="00027DEB" w:rsidRDefault="00027DEB" w:rsidP="00C57C6F">
            <w:pPr>
              <w:pStyle w:val="TableText"/>
            </w:pPr>
          </w:p>
        </w:tc>
        <w:tc>
          <w:tcPr>
            <w:tcW w:w="624" w:type="dxa"/>
          </w:tcPr>
          <w:p w14:paraId="763AACE4" w14:textId="77777777" w:rsidR="00027DEB" w:rsidRDefault="00027DEB" w:rsidP="00C57C6F">
            <w:pPr>
              <w:pStyle w:val="TableText"/>
            </w:pPr>
          </w:p>
        </w:tc>
        <w:tc>
          <w:tcPr>
            <w:tcW w:w="4025" w:type="dxa"/>
            <w:gridSpan w:val="2"/>
          </w:tcPr>
          <w:p w14:paraId="4407A1F9" w14:textId="77777777" w:rsidR="00027DEB" w:rsidRDefault="00027DEB" w:rsidP="00C57C6F">
            <w:pPr>
              <w:pStyle w:val="TableBlock"/>
              <w:rPr>
                <w:rtl/>
              </w:rPr>
            </w:pPr>
            <w:r>
              <w:rPr>
                <w:rFonts w:hint="cs"/>
                <w:rtl/>
              </w:rPr>
              <w:t>(3)</w:t>
            </w:r>
            <w:r>
              <w:rPr>
                <w:rtl/>
              </w:rPr>
              <w:tab/>
            </w:r>
            <w:r w:rsidRPr="003C16D3">
              <w:rPr>
                <w:rtl/>
              </w:rPr>
              <w:t>לדרוש מכל אדם הנוגע בדבר למסור לו כל ידיעה או מסמך שיש בהם כדי להבטיח או להקל על ביצוען של ההוראות לפי חוק זה; בפסקה זו, "מסמך" – לרבות פלט, כהגדרתו בחוק המחשבים</w:t>
            </w:r>
            <w:r w:rsidRPr="003C16D3">
              <w:rPr>
                <w:rFonts w:hint="cs"/>
                <w:rtl/>
              </w:rPr>
              <w:t xml:space="preserve">, </w:t>
            </w:r>
            <w:proofErr w:type="spellStart"/>
            <w:r w:rsidRPr="003C16D3">
              <w:rPr>
                <w:rFonts w:hint="cs"/>
                <w:rtl/>
              </w:rPr>
              <w:t>התשנ"ה</w:t>
            </w:r>
            <w:proofErr w:type="spellEnd"/>
            <w:r>
              <w:rPr>
                <w:rFonts w:hint="eastAsia"/>
                <w:rtl/>
              </w:rPr>
              <w:t>–</w:t>
            </w:r>
            <w:r w:rsidRPr="003C16D3">
              <w:rPr>
                <w:rFonts w:hint="cs"/>
                <w:rtl/>
              </w:rPr>
              <w:t>1995</w:t>
            </w:r>
            <w:r>
              <w:rPr>
                <w:rStyle w:val="a7"/>
                <w:rtl/>
              </w:rPr>
              <w:footnoteReference w:id="7"/>
            </w:r>
            <w:r w:rsidRPr="003C16D3">
              <w:rPr>
                <w:rtl/>
              </w:rPr>
              <w:t>;</w:t>
            </w:r>
          </w:p>
        </w:tc>
      </w:tr>
      <w:tr w:rsidR="00027DEB" w14:paraId="67F75370" w14:textId="77777777" w:rsidTr="00C57C6F">
        <w:trPr>
          <w:cantSplit/>
          <w:trHeight w:val="60"/>
        </w:trPr>
        <w:tc>
          <w:tcPr>
            <w:tcW w:w="1869" w:type="dxa"/>
          </w:tcPr>
          <w:p w14:paraId="19901E79" w14:textId="77777777" w:rsidR="00027DEB" w:rsidRDefault="00027DEB" w:rsidP="00C57C6F">
            <w:pPr>
              <w:pStyle w:val="TableSideHeading"/>
              <w:rPr>
                <w:rtl/>
              </w:rPr>
            </w:pPr>
          </w:p>
        </w:tc>
        <w:tc>
          <w:tcPr>
            <w:tcW w:w="624" w:type="dxa"/>
          </w:tcPr>
          <w:p w14:paraId="48EDCE04" w14:textId="77777777" w:rsidR="00027DEB" w:rsidRDefault="00027DEB" w:rsidP="00C57C6F">
            <w:pPr>
              <w:pStyle w:val="TableText"/>
            </w:pPr>
          </w:p>
        </w:tc>
        <w:tc>
          <w:tcPr>
            <w:tcW w:w="624" w:type="dxa"/>
          </w:tcPr>
          <w:p w14:paraId="660542EC" w14:textId="77777777" w:rsidR="00027DEB" w:rsidRDefault="00027DEB" w:rsidP="00C57C6F">
            <w:pPr>
              <w:pStyle w:val="TableText"/>
            </w:pPr>
          </w:p>
        </w:tc>
        <w:tc>
          <w:tcPr>
            <w:tcW w:w="624" w:type="dxa"/>
          </w:tcPr>
          <w:p w14:paraId="72E53EE8" w14:textId="77777777" w:rsidR="00027DEB" w:rsidRDefault="00027DEB" w:rsidP="00C57C6F">
            <w:pPr>
              <w:pStyle w:val="TableText"/>
            </w:pPr>
          </w:p>
        </w:tc>
        <w:tc>
          <w:tcPr>
            <w:tcW w:w="624" w:type="dxa"/>
          </w:tcPr>
          <w:p w14:paraId="5FAB4F0D" w14:textId="77777777" w:rsidR="00027DEB" w:rsidRDefault="00027DEB" w:rsidP="00C57C6F">
            <w:pPr>
              <w:pStyle w:val="TableText"/>
            </w:pPr>
          </w:p>
        </w:tc>
        <w:tc>
          <w:tcPr>
            <w:tcW w:w="624" w:type="dxa"/>
          </w:tcPr>
          <w:p w14:paraId="4A04A0D4" w14:textId="77777777" w:rsidR="00027DEB" w:rsidRDefault="00027DEB" w:rsidP="00C57C6F">
            <w:pPr>
              <w:pStyle w:val="TableText"/>
            </w:pPr>
          </w:p>
        </w:tc>
        <w:tc>
          <w:tcPr>
            <w:tcW w:w="624" w:type="dxa"/>
          </w:tcPr>
          <w:p w14:paraId="2E9ACF91" w14:textId="77777777" w:rsidR="00027DEB" w:rsidRDefault="00027DEB" w:rsidP="00C57C6F">
            <w:pPr>
              <w:pStyle w:val="TableText"/>
            </w:pPr>
          </w:p>
        </w:tc>
        <w:tc>
          <w:tcPr>
            <w:tcW w:w="4025" w:type="dxa"/>
            <w:gridSpan w:val="2"/>
          </w:tcPr>
          <w:p w14:paraId="0419AC65" w14:textId="7A03979C" w:rsidR="00027DEB" w:rsidRDefault="00027DEB" w:rsidP="00C57C6F">
            <w:pPr>
              <w:pStyle w:val="TableBlock"/>
              <w:rPr>
                <w:rtl/>
              </w:rPr>
            </w:pPr>
            <w:r>
              <w:rPr>
                <w:rFonts w:hint="cs"/>
                <w:rtl/>
              </w:rPr>
              <w:t>(4)</w:t>
            </w:r>
            <w:r>
              <w:rPr>
                <w:rtl/>
              </w:rPr>
              <w:tab/>
            </w:r>
            <w:r w:rsidRPr="003C16D3">
              <w:rPr>
                <w:rtl/>
              </w:rPr>
              <w:t>לערוך בדיקות או מדידות או ליטול דגימות של חומרים וכן למסור את הבדיקות, המדידות או הדגימות למעבדה או לשמור אותן, או לנהוג בהן בדרך אחרת</w:t>
            </w:r>
            <w:r w:rsidR="00C57C6F">
              <w:rPr>
                <w:rFonts w:hint="cs"/>
                <w:rtl/>
              </w:rPr>
              <w:t>.</w:t>
            </w:r>
          </w:p>
        </w:tc>
      </w:tr>
      <w:tr w:rsidR="00027DEB" w14:paraId="6207FC07" w14:textId="77777777" w:rsidTr="00C57C6F">
        <w:trPr>
          <w:cantSplit/>
          <w:trHeight w:val="60"/>
        </w:trPr>
        <w:tc>
          <w:tcPr>
            <w:tcW w:w="1869" w:type="dxa"/>
          </w:tcPr>
          <w:p w14:paraId="1648EB19" w14:textId="77777777" w:rsidR="00027DEB" w:rsidRDefault="00027DEB" w:rsidP="00C57C6F">
            <w:pPr>
              <w:pStyle w:val="TableSideHeading"/>
            </w:pPr>
          </w:p>
        </w:tc>
        <w:tc>
          <w:tcPr>
            <w:tcW w:w="624" w:type="dxa"/>
          </w:tcPr>
          <w:p w14:paraId="066FD7C8" w14:textId="77777777" w:rsidR="00027DEB" w:rsidRDefault="00027DEB" w:rsidP="00C57C6F">
            <w:pPr>
              <w:pStyle w:val="TableText"/>
            </w:pPr>
          </w:p>
        </w:tc>
        <w:tc>
          <w:tcPr>
            <w:tcW w:w="624" w:type="dxa"/>
          </w:tcPr>
          <w:p w14:paraId="0BB5C1E4" w14:textId="77777777" w:rsidR="00027DEB" w:rsidRDefault="00027DEB" w:rsidP="00C57C6F">
            <w:pPr>
              <w:pStyle w:val="TableText"/>
            </w:pPr>
          </w:p>
        </w:tc>
        <w:tc>
          <w:tcPr>
            <w:tcW w:w="624" w:type="dxa"/>
          </w:tcPr>
          <w:p w14:paraId="56DBFE13" w14:textId="77777777" w:rsidR="00027DEB" w:rsidRDefault="00027DEB" w:rsidP="00C57C6F">
            <w:pPr>
              <w:pStyle w:val="TableText"/>
            </w:pPr>
          </w:p>
        </w:tc>
        <w:tc>
          <w:tcPr>
            <w:tcW w:w="624" w:type="dxa"/>
          </w:tcPr>
          <w:p w14:paraId="50AF0C39" w14:textId="77777777" w:rsidR="00027DEB" w:rsidRDefault="00027DEB" w:rsidP="00C57C6F">
            <w:pPr>
              <w:pStyle w:val="TableText"/>
            </w:pPr>
          </w:p>
        </w:tc>
        <w:tc>
          <w:tcPr>
            <w:tcW w:w="624" w:type="dxa"/>
          </w:tcPr>
          <w:p w14:paraId="6674C112" w14:textId="77777777" w:rsidR="00027DEB" w:rsidRDefault="00027DEB" w:rsidP="00C57C6F">
            <w:pPr>
              <w:pStyle w:val="TableText"/>
            </w:pPr>
          </w:p>
        </w:tc>
        <w:tc>
          <w:tcPr>
            <w:tcW w:w="4649" w:type="dxa"/>
            <w:gridSpan w:val="3"/>
          </w:tcPr>
          <w:p w14:paraId="281FABA1" w14:textId="77777777" w:rsidR="00027DEB" w:rsidRDefault="00027DEB" w:rsidP="00C57C6F">
            <w:pPr>
              <w:pStyle w:val="TableBlock"/>
            </w:pPr>
            <w:r>
              <w:rPr>
                <w:rFonts w:hint="cs"/>
                <w:rtl/>
              </w:rPr>
              <w:t>(ב)</w:t>
            </w:r>
            <w:r>
              <w:rPr>
                <w:rtl/>
              </w:rPr>
              <w:tab/>
            </w:r>
            <w:r w:rsidRPr="003C16D3">
              <w:rPr>
                <w:rFonts w:hint="cs"/>
                <w:rtl/>
              </w:rPr>
              <w:t xml:space="preserve">סירב אדם לזהות עצמו לאחר שהתבקש </w:t>
            </w:r>
            <w:r>
              <w:rPr>
                <w:rFonts w:hint="cs"/>
                <w:rtl/>
              </w:rPr>
              <w:t>על ידי</w:t>
            </w:r>
            <w:r w:rsidRPr="003C16D3">
              <w:rPr>
                <w:rFonts w:hint="cs"/>
                <w:rtl/>
              </w:rPr>
              <w:t xml:space="preserve"> מפקח לעשות כן </w:t>
            </w:r>
            <w:r>
              <w:rPr>
                <w:rFonts w:hint="cs"/>
                <w:rtl/>
              </w:rPr>
              <w:t>על פי</w:t>
            </w:r>
            <w:r w:rsidRPr="003C16D3">
              <w:rPr>
                <w:rFonts w:hint="cs"/>
                <w:rtl/>
              </w:rPr>
              <w:t xml:space="preserve"> הסמכות שניתנה לו לפי סעיף קטן (א), רשאי המפקח לעכב את האדם במקום הציבורי עד לבוא שוטר, אך לא יותר משעה אחת.</w:t>
            </w:r>
          </w:p>
        </w:tc>
      </w:tr>
      <w:tr w:rsidR="00027DEB" w14:paraId="1D190158" w14:textId="77777777" w:rsidTr="00C57C6F">
        <w:trPr>
          <w:cantSplit/>
          <w:trHeight w:val="60"/>
        </w:trPr>
        <w:tc>
          <w:tcPr>
            <w:tcW w:w="1869" w:type="dxa"/>
          </w:tcPr>
          <w:p w14:paraId="675C8FC0" w14:textId="77777777" w:rsidR="00027DEB" w:rsidRDefault="00027DEB" w:rsidP="00C57C6F">
            <w:pPr>
              <w:pStyle w:val="TableSideHeading"/>
              <w:rPr>
                <w:rtl/>
              </w:rPr>
            </w:pPr>
          </w:p>
        </w:tc>
        <w:tc>
          <w:tcPr>
            <w:tcW w:w="624" w:type="dxa"/>
          </w:tcPr>
          <w:p w14:paraId="6503B893" w14:textId="77777777" w:rsidR="00027DEB" w:rsidRDefault="00027DEB" w:rsidP="00C57C6F">
            <w:pPr>
              <w:pStyle w:val="TableText"/>
            </w:pPr>
          </w:p>
        </w:tc>
        <w:tc>
          <w:tcPr>
            <w:tcW w:w="624" w:type="dxa"/>
          </w:tcPr>
          <w:p w14:paraId="5ACCDAF5" w14:textId="77777777" w:rsidR="00027DEB" w:rsidRDefault="00027DEB" w:rsidP="00C57C6F">
            <w:pPr>
              <w:pStyle w:val="TableText"/>
            </w:pPr>
          </w:p>
        </w:tc>
        <w:tc>
          <w:tcPr>
            <w:tcW w:w="624" w:type="dxa"/>
          </w:tcPr>
          <w:p w14:paraId="7FF8D6FF" w14:textId="77777777" w:rsidR="00027DEB" w:rsidRDefault="00027DEB" w:rsidP="00C57C6F">
            <w:pPr>
              <w:pStyle w:val="TableText"/>
            </w:pPr>
          </w:p>
        </w:tc>
        <w:tc>
          <w:tcPr>
            <w:tcW w:w="624" w:type="dxa"/>
          </w:tcPr>
          <w:p w14:paraId="085CE75B" w14:textId="77777777" w:rsidR="00027DEB" w:rsidRDefault="00027DEB" w:rsidP="00C57C6F">
            <w:pPr>
              <w:pStyle w:val="TableText"/>
            </w:pPr>
          </w:p>
        </w:tc>
        <w:tc>
          <w:tcPr>
            <w:tcW w:w="624" w:type="dxa"/>
          </w:tcPr>
          <w:p w14:paraId="6F244521" w14:textId="77777777" w:rsidR="00027DEB" w:rsidRDefault="00027DEB" w:rsidP="00C57C6F">
            <w:pPr>
              <w:pStyle w:val="TableText"/>
            </w:pPr>
          </w:p>
        </w:tc>
        <w:tc>
          <w:tcPr>
            <w:tcW w:w="4649" w:type="dxa"/>
            <w:gridSpan w:val="3"/>
          </w:tcPr>
          <w:p w14:paraId="5D7CF03B" w14:textId="77777777" w:rsidR="00027DEB" w:rsidRDefault="00027DEB" w:rsidP="00C57C6F">
            <w:pPr>
              <w:pStyle w:val="TableBlock"/>
              <w:rPr>
                <w:rtl/>
              </w:rPr>
            </w:pPr>
            <w:r>
              <w:rPr>
                <w:rFonts w:hint="cs"/>
                <w:rtl/>
              </w:rPr>
              <w:t>(ג)</w:t>
            </w:r>
            <w:r>
              <w:rPr>
                <w:rtl/>
              </w:rPr>
              <w:tab/>
            </w:r>
            <w:r w:rsidRPr="003C16D3">
              <w:rPr>
                <w:rtl/>
              </w:rPr>
              <w:t>עיכוב של מפקח או שוטר בכניסה למקום ציבורי או מתן התראה לאנשים המעשנים בתוך מקום ציבורי כי מפקח הגיע למקום מהווים הפרעה לעובד ציבור לפי סעיף 288א לחוק העונשין</w:t>
            </w:r>
            <w:r w:rsidRPr="003C16D3">
              <w:rPr>
                <w:rFonts w:hint="cs"/>
                <w:rtl/>
              </w:rPr>
              <w:t>.</w:t>
            </w:r>
          </w:p>
        </w:tc>
      </w:tr>
      <w:tr w:rsidR="00027DEB" w14:paraId="3F69BE62" w14:textId="77777777" w:rsidTr="00C57C6F">
        <w:trPr>
          <w:cantSplit/>
          <w:trHeight w:val="60"/>
        </w:trPr>
        <w:tc>
          <w:tcPr>
            <w:tcW w:w="1869" w:type="dxa"/>
          </w:tcPr>
          <w:p w14:paraId="635554C0" w14:textId="77777777" w:rsidR="00027DEB" w:rsidRDefault="00027DEB" w:rsidP="00C57C6F">
            <w:pPr>
              <w:pStyle w:val="TableSideHeading"/>
              <w:rPr>
                <w:rtl/>
              </w:rPr>
            </w:pPr>
          </w:p>
        </w:tc>
        <w:tc>
          <w:tcPr>
            <w:tcW w:w="624" w:type="dxa"/>
          </w:tcPr>
          <w:p w14:paraId="5BA1240A" w14:textId="77777777" w:rsidR="00027DEB" w:rsidRDefault="00027DEB" w:rsidP="00C57C6F">
            <w:pPr>
              <w:pStyle w:val="TableText"/>
            </w:pPr>
          </w:p>
        </w:tc>
        <w:tc>
          <w:tcPr>
            <w:tcW w:w="624" w:type="dxa"/>
          </w:tcPr>
          <w:p w14:paraId="4FF068C0" w14:textId="77777777" w:rsidR="00027DEB" w:rsidRDefault="00027DEB" w:rsidP="00C57C6F">
            <w:pPr>
              <w:pStyle w:val="TableText"/>
            </w:pPr>
          </w:p>
        </w:tc>
        <w:tc>
          <w:tcPr>
            <w:tcW w:w="624" w:type="dxa"/>
          </w:tcPr>
          <w:p w14:paraId="54EF74C7" w14:textId="77777777" w:rsidR="00027DEB" w:rsidRDefault="00027DEB" w:rsidP="00C57C6F">
            <w:pPr>
              <w:pStyle w:val="TableText"/>
            </w:pPr>
          </w:p>
        </w:tc>
        <w:tc>
          <w:tcPr>
            <w:tcW w:w="624" w:type="dxa"/>
          </w:tcPr>
          <w:p w14:paraId="015FC6C5" w14:textId="77777777" w:rsidR="00027DEB" w:rsidRDefault="00027DEB" w:rsidP="00C57C6F">
            <w:pPr>
              <w:pStyle w:val="TableText"/>
            </w:pPr>
          </w:p>
        </w:tc>
        <w:tc>
          <w:tcPr>
            <w:tcW w:w="624" w:type="dxa"/>
          </w:tcPr>
          <w:p w14:paraId="52592A30" w14:textId="77777777" w:rsidR="00027DEB" w:rsidRDefault="00027DEB" w:rsidP="00C57C6F">
            <w:pPr>
              <w:pStyle w:val="TableText"/>
            </w:pPr>
          </w:p>
        </w:tc>
        <w:tc>
          <w:tcPr>
            <w:tcW w:w="4649" w:type="dxa"/>
            <w:gridSpan w:val="3"/>
          </w:tcPr>
          <w:p w14:paraId="41B45D3D" w14:textId="76DC3786" w:rsidR="00027DEB" w:rsidRDefault="00027DEB" w:rsidP="00C57C6F">
            <w:pPr>
              <w:pStyle w:val="TableBlock"/>
              <w:rPr>
                <w:rtl/>
              </w:rPr>
            </w:pPr>
            <w:r>
              <w:rPr>
                <w:rFonts w:hint="cs"/>
                <w:rtl/>
              </w:rPr>
              <w:t>(ד)</w:t>
            </w:r>
            <w:r>
              <w:rPr>
                <w:rtl/>
              </w:rPr>
              <w:tab/>
            </w:r>
            <w:r w:rsidRPr="003C16D3">
              <w:rPr>
                <w:rFonts w:hint="cs"/>
                <w:rtl/>
              </w:rPr>
              <w:t>שוטר או מפקח</w:t>
            </w:r>
            <w:r w:rsidRPr="003C16D3">
              <w:rPr>
                <w:rtl/>
              </w:rPr>
              <w:t xml:space="preserve"> רשאי</w:t>
            </w:r>
            <w:r w:rsidRPr="003C16D3">
              <w:rPr>
                <w:rFonts w:hint="cs"/>
                <w:rtl/>
              </w:rPr>
              <w:t>ם</w:t>
            </w:r>
            <w:r w:rsidRPr="003C16D3">
              <w:rPr>
                <w:rtl/>
              </w:rPr>
              <w:t xml:space="preserve"> </w:t>
            </w:r>
            <w:r w:rsidRPr="003C16D3">
              <w:rPr>
                <w:rFonts w:hint="cs"/>
                <w:rtl/>
              </w:rPr>
              <w:t>להיכנ</w:t>
            </w:r>
            <w:r w:rsidRPr="003C16D3">
              <w:rPr>
                <w:rFonts w:hint="eastAsia"/>
                <w:rtl/>
              </w:rPr>
              <w:t>ס</w:t>
            </w:r>
            <w:r w:rsidRPr="003C16D3">
              <w:rPr>
                <w:rtl/>
              </w:rPr>
              <w:t xml:space="preserve"> לכל מקום ציבורי כדי לברר אם קוימו הוראות חוק זה והתקנות לפיו, גם בלבוש אזרחי</w:t>
            </w:r>
            <w:r>
              <w:rPr>
                <w:rFonts w:hint="cs"/>
                <w:rtl/>
              </w:rPr>
              <w:t>;</w:t>
            </w:r>
            <w:r w:rsidRPr="003C16D3">
              <w:rPr>
                <w:rtl/>
              </w:rPr>
              <w:t xml:space="preserve"> במידה וישנה הפר</w:t>
            </w:r>
            <w:r>
              <w:rPr>
                <w:rFonts w:hint="cs"/>
                <w:rtl/>
              </w:rPr>
              <w:t>ה של</w:t>
            </w:r>
            <w:r w:rsidRPr="003C16D3">
              <w:rPr>
                <w:rtl/>
              </w:rPr>
              <w:t xml:space="preserve"> חוק זה, יזדהה ה</w:t>
            </w:r>
            <w:r w:rsidRPr="003C16D3">
              <w:rPr>
                <w:rFonts w:hint="cs"/>
                <w:rtl/>
              </w:rPr>
              <w:t>שוטר או ה</w:t>
            </w:r>
            <w:r w:rsidRPr="003C16D3">
              <w:rPr>
                <w:rtl/>
              </w:rPr>
              <w:t>מפקח בעזרת תג זיהוי בפני בעל המקום הציבורי או מי מטעמו.</w:t>
            </w:r>
            <w:r w:rsidR="00C57C6F">
              <w:rPr>
                <w:rFonts w:hint="cs"/>
                <w:rtl/>
              </w:rPr>
              <w:t>"</w:t>
            </w:r>
          </w:p>
        </w:tc>
      </w:tr>
      <w:tr w:rsidR="00027DEB" w14:paraId="5A800643" w14:textId="77777777" w:rsidTr="00C57C6F">
        <w:trPr>
          <w:cantSplit/>
          <w:trHeight w:val="60"/>
        </w:trPr>
        <w:tc>
          <w:tcPr>
            <w:tcW w:w="1869" w:type="dxa"/>
          </w:tcPr>
          <w:p w14:paraId="56B98B8B" w14:textId="77777777" w:rsidR="00027DEB" w:rsidRDefault="00027DEB" w:rsidP="00C57C6F">
            <w:pPr>
              <w:pStyle w:val="TableSideHeading"/>
              <w:rPr>
                <w:rtl/>
              </w:rPr>
            </w:pPr>
            <w:r>
              <w:rPr>
                <w:rFonts w:hint="cs"/>
                <w:rtl/>
              </w:rPr>
              <w:t>תיקון סעיף 8</w:t>
            </w:r>
          </w:p>
        </w:tc>
        <w:tc>
          <w:tcPr>
            <w:tcW w:w="624" w:type="dxa"/>
          </w:tcPr>
          <w:p w14:paraId="272B3A73" w14:textId="77777777" w:rsidR="00027DEB" w:rsidRDefault="00027DEB" w:rsidP="00C57C6F">
            <w:pPr>
              <w:pStyle w:val="TableText"/>
            </w:pPr>
            <w:r>
              <w:rPr>
                <w:rFonts w:hint="cs"/>
                <w:rtl/>
              </w:rPr>
              <w:t>14.</w:t>
            </w:r>
          </w:p>
        </w:tc>
        <w:tc>
          <w:tcPr>
            <w:tcW w:w="7145" w:type="dxa"/>
            <w:gridSpan w:val="7"/>
          </w:tcPr>
          <w:p w14:paraId="406E1748" w14:textId="77777777" w:rsidR="00027DEB" w:rsidRDefault="00027DEB" w:rsidP="00C57C6F">
            <w:pPr>
              <w:pStyle w:val="TableBlock"/>
              <w:rPr>
                <w:rtl/>
              </w:rPr>
            </w:pPr>
            <w:r>
              <w:rPr>
                <w:rFonts w:hint="cs"/>
                <w:rtl/>
              </w:rPr>
              <w:t>בסעיף 8(א) לחוק העיקרי, במקום "רשאי המפקח או הסדרן לדרוש ממנו" יבוא "ידרוש ממנו המפקח או הסדרן" ובמקום "רשאי הוא לעכב אותו" יבוא "יעכב אותו".</w:t>
            </w:r>
          </w:p>
        </w:tc>
      </w:tr>
      <w:tr w:rsidR="00027DEB" w:rsidRPr="003C16D3" w14:paraId="4CC3706A" w14:textId="77777777" w:rsidTr="00C57C6F">
        <w:trPr>
          <w:cantSplit/>
        </w:trPr>
        <w:tc>
          <w:tcPr>
            <w:tcW w:w="1869" w:type="dxa"/>
          </w:tcPr>
          <w:p w14:paraId="7C7D21C3" w14:textId="77777777" w:rsidR="00027DEB" w:rsidRPr="003C16D3" w:rsidRDefault="00027DEB" w:rsidP="00C57C6F">
            <w:pPr>
              <w:pStyle w:val="TableSideHeading"/>
              <w:keepLines w:val="0"/>
              <w:ind w:left="57" w:right="0"/>
              <w:rPr>
                <w:rtl/>
              </w:rPr>
            </w:pPr>
            <w:r w:rsidRPr="003C16D3">
              <w:rPr>
                <w:rFonts w:hint="cs"/>
                <w:rtl/>
              </w:rPr>
              <w:t>תיקון סעיף 8א</w:t>
            </w:r>
          </w:p>
        </w:tc>
        <w:tc>
          <w:tcPr>
            <w:tcW w:w="624" w:type="dxa"/>
          </w:tcPr>
          <w:p w14:paraId="6785257B" w14:textId="77777777" w:rsidR="00027DEB" w:rsidRPr="009F682B" w:rsidRDefault="00027DEB" w:rsidP="00C57C6F">
            <w:pPr>
              <w:pStyle w:val="TableBlock"/>
              <w:rPr>
                <w:rtl/>
              </w:rPr>
            </w:pPr>
            <w:r>
              <w:rPr>
                <w:rFonts w:hint="cs"/>
                <w:rtl/>
              </w:rPr>
              <w:t>15.</w:t>
            </w:r>
          </w:p>
        </w:tc>
        <w:tc>
          <w:tcPr>
            <w:tcW w:w="7145" w:type="dxa"/>
            <w:gridSpan w:val="7"/>
          </w:tcPr>
          <w:p w14:paraId="79FBD265" w14:textId="77777777" w:rsidR="00027DEB" w:rsidRPr="003C16D3" w:rsidRDefault="00027DEB" w:rsidP="00C57C6F">
            <w:pPr>
              <w:pStyle w:val="TableBlock"/>
              <w:rPr>
                <w:rtl/>
              </w:rPr>
            </w:pPr>
            <w:r w:rsidRPr="003C16D3">
              <w:rPr>
                <w:rFonts w:hint="cs"/>
                <w:rtl/>
              </w:rPr>
              <w:t>בסעיף 8א לחוק העיקרי</w:t>
            </w:r>
            <w:r>
              <w:rPr>
                <w:rFonts w:hint="cs"/>
                <w:rtl/>
              </w:rPr>
              <w:t xml:space="preserve"> </w:t>
            </w:r>
            <w:r>
              <w:rPr>
                <w:rFonts w:hint="eastAsia"/>
                <w:rtl/>
              </w:rPr>
              <w:t>–</w:t>
            </w:r>
          </w:p>
        </w:tc>
      </w:tr>
      <w:tr w:rsidR="00027DEB" w:rsidRPr="003C16D3" w14:paraId="31F08EDE" w14:textId="77777777" w:rsidTr="00C57C6F">
        <w:trPr>
          <w:cantSplit/>
        </w:trPr>
        <w:tc>
          <w:tcPr>
            <w:tcW w:w="1869" w:type="dxa"/>
          </w:tcPr>
          <w:p w14:paraId="00BC78F0" w14:textId="77777777" w:rsidR="00027DEB" w:rsidRPr="003C16D3" w:rsidRDefault="00027DEB" w:rsidP="00C57C6F">
            <w:pPr>
              <w:pStyle w:val="TableSideHeading"/>
              <w:keepLines w:val="0"/>
              <w:ind w:left="57" w:right="0"/>
              <w:rPr>
                <w:rtl/>
              </w:rPr>
            </w:pPr>
          </w:p>
        </w:tc>
        <w:tc>
          <w:tcPr>
            <w:tcW w:w="624" w:type="dxa"/>
          </w:tcPr>
          <w:p w14:paraId="59784E47" w14:textId="77777777" w:rsidR="00027DEB" w:rsidRDefault="00027DEB" w:rsidP="00C57C6F">
            <w:pPr>
              <w:pStyle w:val="TableText"/>
              <w:rPr>
                <w:rtl/>
              </w:rPr>
            </w:pPr>
          </w:p>
        </w:tc>
        <w:tc>
          <w:tcPr>
            <w:tcW w:w="7145" w:type="dxa"/>
            <w:gridSpan w:val="7"/>
          </w:tcPr>
          <w:p w14:paraId="775FD162" w14:textId="46804C45" w:rsidR="00027DEB" w:rsidRPr="003C16D3" w:rsidRDefault="00027DEB" w:rsidP="00C57C6F">
            <w:pPr>
              <w:pStyle w:val="TableBlock"/>
              <w:rPr>
                <w:rtl/>
              </w:rPr>
            </w:pPr>
            <w:r>
              <w:rPr>
                <w:rFonts w:hint="cs"/>
                <w:rtl/>
              </w:rPr>
              <w:t>(1)</w:t>
            </w:r>
            <w:r>
              <w:rPr>
                <w:rtl/>
              </w:rPr>
              <w:tab/>
            </w:r>
            <w:r w:rsidRPr="003C16D3">
              <w:rPr>
                <w:rFonts w:hint="cs"/>
                <w:rtl/>
              </w:rPr>
              <w:t>בסעיף קטן (ב)</w:t>
            </w:r>
            <w:r w:rsidR="00C57C6F">
              <w:rPr>
                <w:rFonts w:hint="cs"/>
                <w:rtl/>
              </w:rPr>
              <w:t>,</w:t>
            </w:r>
            <w:r w:rsidRPr="003C16D3">
              <w:rPr>
                <w:rFonts w:hint="cs"/>
                <w:rtl/>
              </w:rPr>
              <w:t xml:space="preserve"> במקום "לפי הוראות סעיף 8(ב)" יבוא "על ידי הבעל או המחזיק של בית החולים, והוא עונד תג בולט המעיד על תפקידו ומציג תעודה על מינויו כסדרן"</w:t>
            </w:r>
            <w:r w:rsidR="00E0235C">
              <w:rPr>
                <w:rFonts w:hint="cs"/>
                <w:rtl/>
              </w:rPr>
              <w:t>;</w:t>
            </w:r>
          </w:p>
        </w:tc>
      </w:tr>
      <w:tr w:rsidR="00027DEB" w:rsidRPr="003C16D3" w14:paraId="380B0A73" w14:textId="77777777" w:rsidTr="00C57C6F">
        <w:trPr>
          <w:cantSplit/>
        </w:trPr>
        <w:tc>
          <w:tcPr>
            <w:tcW w:w="1869" w:type="dxa"/>
          </w:tcPr>
          <w:p w14:paraId="74A5B4A2" w14:textId="77777777" w:rsidR="00027DEB" w:rsidRDefault="00027DEB" w:rsidP="00C57C6F">
            <w:pPr>
              <w:pStyle w:val="TableSideHeading"/>
              <w:keepLines w:val="0"/>
              <w:ind w:left="57" w:right="0"/>
              <w:rPr>
                <w:rtl/>
              </w:rPr>
            </w:pPr>
          </w:p>
        </w:tc>
        <w:tc>
          <w:tcPr>
            <w:tcW w:w="624" w:type="dxa"/>
          </w:tcPr>
          <w:p w14:paraId="140FB0D4" w14:textId="77777777" w:rsidR="00027DEB" w:rsidRDefault="00027DEB" w:rsidP="00C57C6F">
            <w:pPr>
              <w:pStyle w:val="TableText"/>
              <w:rPr>
                <w:rtl/>
              </w:rPr>
            </w:pPr>
          </w:p>
        </w:tc>
        <w:tc>
          <w:tcPr>
            <w:tcW w:w="7145" w:type="dxa"/>
            <w:gridSpan w:val="7"/>
          </w:tcPr>
          <w:p w14:paraId="38FF5FCD" w14:textId="77777777" w:rsidR="00027DEB" w:rsidRDefault="00027DEB" w:rsidP="00C57C6F">
            <w:pPr>
              <w:pStyle w:val="TableBlock"/>
              <w:rPr>
                <w:rtl/>
              </w:rPr>
            </w:pPr>
            <w:r>
              <w:rPr>
                <w:rFonts w:hint="cs"/>
                <w:rtl/>
              </w:rPr>
              <w:t>(2)</w:t>
            </w:r>
            <w:r>
              <w:rPr>
                <w:rtl/>
              </w:rPr>
              <w:tab/>
            </w:r>
            <w:r w:rsidRPr="003C16D3">
              <w:rPr>
                <w:rFonts w:hint="cs"/>
                <w:rtl/>
              </w:rPr>
              <w:t xml:space="preserve">בסעיף קטן (ה), </w:t>
            </w:r>
            <w:proofErr w:type="spellStart"/>
            <w:r>
              <w:rPr>
                <w:rFonts w:hint="cs"/>
                <w:rtl/>
              </w:rPr>
              <w:t>הסיפה</w:t>
            </w:r>
            <w:proofErr w:type="spellEnd"/>
            <w:r>
              <w:rPr>
                <w:rFonts w:hint="cs"/>
                <w:rtl/>
              </w:rPr>
              <w:t xml:space="preserve"> החל במילים "[נוסח משולב]" </w:t>
            </w:r>
            <w:r>
              <w:rPr>
                <w:rtl/>
              </w:rPr>
              <w:t>–</w:t>
            </w:r>
            <w:r>
              <w:rPr>
                <w:rFonts w:hint="cs"/>
                <w:rtl/>
              </w:rPr>
              <w:t xml:space="preserve"> תימחק.</w:t>
            </w:r>
          </w:p>
        </w:tc>
      </w:tr>
      <w:tr w:rsidR="00027DEB" w:rsidRPr="003C16D3" w14:paraId="67D9E881" w14:textId="77777777" w:rsidTr="00C57C6F">
        <w:trPr>
          <w:cantSplit/>
        </w:trPr>
        <w:tc>
          <w:tcPr>
            <w:tcW w:w="1869" w:type="dxa"/>
          </w:tcPr>
          <w:p w14:paraId="1A9CA27D" w14:textId="77777777" w:rsidR="00027DEB" w:rsidRPr="003C16D3" w:rsidRDefault="00027DEB" w:rsidP="00C57C6F">
            <w:pPr>
              <w:pStyle w:val="TableSideHeading"/>
              <w:keepLines w:val="0"/>
              <w:ind w:left="57" w:right="0"/>
              <w:rPr>
                <w:rtl/>
              </w:rPr>
            </w:pPr>
            <w:r w:rsidRPr="003C16D3">
              <w:rPr>
                <w:rFonts w:hint="cs"/>
                <w:rtl/>
              </w:rPr>
              <w:t>תיקון סעיף 9</w:t>
            </w:r>
          </w:p>
        </w:tc>
        <w:tc>
          <w:tcPr>
            <w:tcW w:w="624" w:type="dxa"/>
          </w:tcPr>
          <w:p w14:paraId="06125E8B" w14:textId="77777777" w:rsidR="00027DEB" w:rsidRPr="009F682B" w:rsidRDefault="00027DEB" w:rsidP="00C57C6F">
            <w:pPr>
              <w:pStyle w:val="TableBlock"/>
              <w:rPr>
                <w:rtl/>
              </w:rPr>
            </w:pPr>
            <w:r>
              <w:rPr>
                <w:rFonts w:hint="cs"/>
                <w:rtl/>
              </w:rPr>
              <w:t>16.</w:t>
            </w:r>
          </w:p>
        </w:tc>
        <w:tc>
          <w:tcPr>
            <w:tcW w:w="7145" w:type="dxa"/>
            <w:gridSpan w:val="7"/>
          </w:tcPr>
          <w:p w14:paraId="09C1B8C4" w14:textId="77777777" w:rsidR="00027DEB" w:rsidRPr="003C16D3" w:rsidRDefault="00027DEB" w:rsidP="00C57C6F">
            <w:pPr>
              <w:pStyle w:val="TableBlock"/>
              <w:rPr>
                <w:rtl/>
              </w:rPr>
            </w:pPr>
            <w:r w:rsidRPr="003C16D3">
              <w:rPr>
                <w:rtl/>
              </w:rPr>
              <w:t xml:space="preserve">בסעיף 9 </w:t>
            </w:r>
            <w:r>
              <w:rPr>
                <w:rFonts w:hint="cs"/>
                <w:rtl/>
              </w:rPr>
              <w:t>לחוק העיקרי,</w:t>
            </w:r>
            <w:r w:rsidRPr="003C16D3">
              <w:rPr>
                <w:rtl/>
              </w:rPr>
              <w:t xml:space="preserve"> בכל מקום</w:t>
            </w:r>
            <w:r>
              <w:rPr>
                <w:rFonts w:hint="cs"/>
                <w:rtl/>
              </w:rPr>
              <w:t xml:space="preserve">, במקום </w:t>
            </w:r>
            <w:r w:rsidRPr="003C16D3">
              <w:rPr>
                <w:rtl/>
              </w:rPr>
              <w:t>"סיגריה, סיגרילה, סיגר או מקטרת</w:t>
            </w:r>
            <w:r w:rsidRPr="003C16D3">
              <w:rPr>
                <w:rFonts w:hint="cs"/>
                <w:rtl/>
              </w:rPr>
              <w:t xml:space="preserve"> כשהם דלוקים</w:t>
            </w:r>
            <w:r w:rsidRPr="003C16D3">
              <w:rPr>
                <w:rtl/>
              </w:rPr>
              <w:t>" יבוא "מוצר עישון</w:t>
            </w:r>
            <w:r w:rsidRPr="003C16D3">
              <w:rPr>
                <w:rFonts w:hint="cs"/>
                <w:rtl/>
              </w:rPr>
              <w:t xml:space="preserve"> כשהוא דלוק</w:t>
            </w:r>
            <w:r w:rsidRPr="003C16D3">
              <w:rPr>
                <w:rtl/>
              </w:rPr>
              <w:t>".</w:t>
            </w:r>
          </w:p>
        </w:tc>
      </w:tr>
      <w:tr w:rsidR="00027DEB" w:rsidRPr="003C16D3" w14:paraId="5330830D" w14:textId="77777777" w:rsidTr="00C57C6F">
        <w:trPr>
          <w:cantSplit/>
        </w:trPr>
        <w:tc>
          <w:tcPr>
            <w:tcW w:w="1869" w:type="dxa"/>
          </w:tcPr>
          <w:p w14:paraId="2DB98AA2" w14:textId="77777777" w:rsidR="00027DEB" w:rsidRPr="003C16D3" w:rsidRDefault="00027DEB" w:rsidP="00C57C6F">
            <w:pPr>
              <w:pStyle w:val="TableSideHeading"/>
              <w:keepLines w:val="0"/>
              <w:ind w:left="57" w:right="0"/>
              <w:rPr>
                <w:rtl/>
              </w:rPr>
            </w:pPr>
            <w:r w:rsidRPr="003C16D3">
              <w:rPr>
                <w:rFonts w:hint="cs"/>
                <w:rtl/>
              </w:rPr>
              <w:t>תיקון סעיף 10</w:t>
            </w:r>
          </w:p>
        </w:tc>
        <w:tc>
          <w:tcPr>
            <w:tcW w:w="624" w:type="dxa"/>
          </w:tcPr>
          <w:p w14:paraId="420846A9" w14:textId="77777777" w:rsidR="00027DEB" w:rsidRPr="009F682B" w:rsidRDefault="00027DEB" w:rsidP="00C57C6F">
            <w:pPr>
              <w:pStyle w:val="TableBlock"/>
              <w:rPr>
                <w:rtl/>
              </w:rPr>
            </w:pPr>
            <w:r>
              <w:rPr>
                <w:rFonts w:hint="cs"/>
                <w:rtl/>
              </w:rPr>
              <w:t>17.</w:t>
            </w:r>
          </w:p>
        </w:tc>
        <w:tc>
          <w:tcPr>
            <w:tcW w:w="7145" w:type="dxa"/>
            <w:gridSpan w:val="7"/>
          </w:tcPr>
          <w:p w14:paraId="528BAB1E" w14:textId="77777777" w:rsidR="00027DEB" w:rsidRPr="003C16D3" w:rsidRDefault="00027DEB" w:rsidP="00C57C6F">
            <w:pPr>
              <w:pStyle w:val="TableBlock"/>
              <w:rPr>
                <w:rtl/>
              </w:rPr>
            </w:pPr>
            <w:r w:rsidRPr="003C16D3">
              <w:rPr>
                <w:rFonts w:hint="cs"/>
                <w:rtl/>
              </w:rPr>
              <w:t>בסעיף 10 לחוק העיקרי</w:t>
            </w:r>
            <w:r>
              <w:rPr>
                <w:rFonts w:hint="cs"/>
                <w:rtl/>
              </w:rPr>
              <w:t xml:space="preserve">, </w:t>
            </w:r>
            <w:r w:rsidRPr="003C16D3">
              <w:rPr>
                <w:rFonts w:hint="cs"/>
                <w:rtl/>
              </w:rPr>
              <w:t>האמור בו יסומן "(א)"</w:t>
            </w:r>
            <w:r>
              <w:rPr>
                <w:rFonts w:hint="cs"/>
                <w:rtl/>
              </w:rPr>
              <w:t xml:space="preserve">, ואחריו יבוא: </w:t>
            </w:r>
          </w:p>
        </w:tc>
      </w:tr>
      <w:tr w:rsidR="00027DEB" w14:paraId="021223B9" w14:textId="77777777" w:rsidTr="00C57C6F">
        <w:trPr>
          <w:cantSplit/>
          <w:trHeight w:val="60"/>
        </w:trPr>
        <w:tc>
          <w:tcPr>
            <w:tcW w:w="1869" w:type="dxa"/>
          </w:tcPr>
          <w:p w14:paraId="07206BCF" w14:textId="77777777" w:rsidR="00027DEB" w:rsidRDefault="00027DEB" w:rsidP="00C57C6F">
            <w:pPr>
              <w:pStyle w:val="TableSideHeading"/>
            </w:pPr>
          </w:p>
        </w:tc>
        <w:tc>
          <w:tcPr>
            <w:tcW w:w="624" w:type="dxa"/>
          </w:tcPr>
          <w:p w14:paraId="01D48EC3" w14:textId="77777777" w:rsidR="00027DEB" w:rsidRDefault="00027DEB" w:rsidP="00C57C6F">
            <w:pPr>
              <w:pStyle w:val="TableText"/>
            </w:pPr>
          </w:p>
        </w:tc>
        <w:tc>
          <w:tcPr>
            <w:tcW w:w="7145" w:type="dxa"/>
            <w:gridSpan w:val="7"/>
          </w:tcPr>
          <w:p w14:paraId="527588E9" w14:textId="77777777" w:rsidR="00027DEB" w:rsidRDefault="00027DEB" w:rsidP="00C57C6F">
            <w:pPr>
              <w:pStyle w:val="TableBlock"/>
            </w:pPr>
            <w:r>
              <w:rPr>
                <w:rFonts w:hint="cs"/>
                <w:rtl/>
              </w:rPr>
              <w:t>"(ב)</w:t>
            </w:r>
            <w:r>
              <w:rPr>
                <w:rtl/>
              </w:rPr>
              <w:tab/>
            </w:r>
            <w:r w:rsidRPr="003C16D3">
              <w:rPr>
                <w:rtl/>
              </w:rPr>
              <w:t xml:space="preserve">אין בהוראות </w:t>
            </w:r>
            <w:r w:rsidRPr="003C16D3">
              <w:rPr>
                <w:rFonts w:hint="cs"/>
                <w:rtl/>
              </w:rPr>
              <w:t>ה</w:t>
            </w:r>
            <w:r w:rsidRPr="003C16D3">
              <w:rPr>
                <w:rtl/>
              </w:rPr>
              <w:t>פרטים בתוספת כדי לגרוע מאיסור עישון מכוח כל דין או כדי למנוע מ</w:t>
            </w:r>
            <w:r w:rsidRPr="003C16D3">
              <w:rPr>
                <w:rFonts w:hint="cs"/>
                <w:rtl/>
              </w:rPr>
              <w:t>המחזיק של מקום ציבורי</w:t>
            </w:r>
            <w:r w:rsidRPr="003C16D3">
              <w:rPr>
                <w:rtl/>
              </w:rPr>
              <w:t xml:space="preserve"> לאסור את העישון במקום</w:t>
            </w:r>
            <w:r w:rsidRPr="003C16D3">
              <w:rPr>
                <w:rFonts w:hint="cs"/>
                <w:rtl/>
              </w:rPr>
              <w:t xml:space="preserve">, אף אם סוג המקום לא </w:t>
            </w:r>
            <w:proofErr w:type="spellStart"/>
            <w:r w:rsidRPr="003C16D3">
              <w:rPr>
                <w:rFonts w:hint="cs"/>
                <w:rtl/>
              </w:rPr>
              <w:t>צויין</w:t>
            </w:r>
            <w:proofErr w:type="spellEnd"/>
            <w:r w:rsidRPr="003C16D3">
              <w:rPr>
                <w:rFonts w:hint="cs"/>
                <w:rtl/>
              </w:rPr>
              <w:t xml:space="preserve"> בתוספת."</w:t>
            </w:r>
          </w:p>
        </w:tc>
      </w:tr>
      <w:tr w:rsidR="00027DEB" w:rsidRPr="003C16D3" w14:paraId="7F046054" w14:textId="77777777" w:rsidTr="00C57C6F">
        <w:trPr>
          <w:cantSplit/>
        </w:trPr>
        <w:tc>
          <w:tcPr>
            <w:tcW w:w="1869" w:type="dxa"/>
          </w:tcPr>
          <w:p w14:paraId="0CF128DB" w14:textId="77777777" w:rsidR="00027DEB" w:rsidRPr="003C16D3" w:rsidRDefault="00027DEB" w:rsidP="00C57C6F">
            <w:pPr>
              <w:pStyle w:val="TableSideHeading"/>
              <w:keepLines w:val="0"/>
              <w:ind w:left="57" w:right="0"/>
              <w:rPr>
                <w:rtl/>
              </w:rPr>
            </w:pPr>
            <w:r w:rsidRPr="003C16D3">
              <w:rPr>
                <w:rFonts w:hint="cs"/>
                <w:rtl/>
              </w:rPr>
              <w:t>תיקון התוספת</w:t>
            </w:r>
          </w:p>
        </w:tc>
        <w:tc>
          <w:tcPr>
            <w:tcW w:w="624" w:type="dxa"/>
          </w:tcPr>
          <w:p w14:paraId="1AB91954" w14:textId="77777777" w:rsidR="00027DEB" w:rsidRPr="009F682B" w:rsidRDefault="00027DEB" w:rsidP="00C57C6F">
            <w:pPr>
              <w:pStyle w:val="TableBlock"/>
              <w:rPr>
                <w:rtl/>
              </w:rPr>
            </w:pPr>
            <w:r>
              <w:rPr>
                <w:rFonts w:hint="cs"/>
                <w:rtl/>
              </w:rPr>
              <w:t>18.</w:t>
            </w:r>
          </w:p>
        </w:tc>
        <w:tc>
          <w:tcPr>
            <w:tcW w:w="7145" w:type="dxa"/>
            <w:gridSpan w:val="7"/>
          </w:tcPr>
          <w:p w14:paraId="4A0D65BA" w14:textId="77777777" w:rsidR="00027DEB" w:rsidRPr="003C16D3" w:rsidRDefault="00027DEB" w:rsidP="00C57C6F">
            <w:pPr>
              <w:pStyle w:val="TableBlock"/>
              <w:rPr>
                <w:rtl/>
              </w:rPr>
            </w:pPr>
            <w:r w:rsidRPr="003C16D3">
              <w:rPr>
                <w:rFonts w:hint="cs"/>
                <w:rtl/>
              </w:rPr>
              <w:t xml:space="preserve">בתוספת לחוק העיקרי </w:t>
            </w:r>
            <w:r w:rsidRPr="003C16D3">
              <w:rPr>
                <w:rtl/>
              </w:rPr>
              <w:t>–</w:t>
            </w:r>
          </w:p>
        </w:tc>
      </w:tr>
      <w:tr w:rsidR="00027DEB" w:rsidRPr="003C16D3" w14:paraId="1611422D" w14:textId="77777777" w:rsidTr="00C57C6F">
        <w:trPr>
          <w:cantSplit/>
        </w:trPr>
        <w:tc>
          <w:tcPr>
            <w:tcW w:w="1869" w:type="dxa"/>
          </w:tcPr>
          <w:p w14:paraId="65F0713F" w14:textId="77777777" w:rsidR="00027DEB" w:rsidRPr="000605D6" w:rsidRDefault="00027DEB" w:rsidP="00C57C6F">
            <w:pPr>
              <w:pStyle w:val="TableSideHeading"/>
              <w:keepLines w:val="0"/>
              <w:ind w:left="57" w:right="0"/>
              <w:rPr>
                <w:highlight w:val="yellow"/>
                <w:rtl/>
              </w:rPr>
            </w:pPr>
          </w:p>
        </w:tc>
        <w:tc>
          <w:tcPr>
            <w:tcW w:w="624" w:type="dxa"/>
          </w:tcPr>
          <w:p w14:paraId="54356C1B" w14:textId="77777777" w:rsidR="00027DEB" w:rsidRDefault="00027DEB" w:rsidP="00C57C6F">
            <w:pPr>
              <w:pStyle w:val="TableText"/>
              <w:rPr>
                <w:rtl/>
              </w:rPr>
            </w:pPr>
          </w:p>
        </w:tc>
        <w:tc>
          <w:tcPr>
            <w:tcW w:w="7145" w:type="dxa"/>
            <w:gridSpan w:val="7"/>
          </w:tcPr>
          <w:p w14:paraId="20812911" w14:textId="7CDB0206" w:rsidR="00027DEB" w:rsidRDefault="00027DEB" w:rsidP="00E0235C">
            <w:pPr>
              <w:pStyle w:val="TableBlock"/>
              <w:rPr>
                <w:rtl/>
              </w:rPr>
            </w:pPr>
            <w:r>
              <w:rPr>
                <w:rFonts w:hint="cs"/>
                <w:rtl/>
              </w:rPr>
              <w:t>(1)</w:t>
            </w:r>
            <w:r>
              <w:rPr>
                <w:rtl/>
              </w:rPr>
              <w:tab/>
            </w:r>
            <w:r w:rsidRPr="003C16D3">
              <w:rPr>
                <w:rFonts w:hint="cs"/>
                <w:rtl/>
              </w:rPr>
              <w:t>בפרט 1, אחרי "</w:t>
            </w:r>
            <w:r w:rsidRPr="003C16D3">
              <w:rPr>
                <w:rtl/>
              </w:rPr>
              <w:t>או למחול</w:t>
            </w:r>
            <w:r w:rsidRPr="003C16D3">
              <w:rPr>
                <w:rFonts w:hint="cs"/>
                <w:rtl/>
              </w:rPr>
              <w:t>" יבוא "</w:t>
            </w:r>
            <w:r>
              <w:rPr>
                <w:rFonts w:hint="cs"/>
                <w:rtl/>
              </w:rPr>
              <w:t>לרבות שטח פתוח וכל שטח שאינו במבנה</w:t>
            </w:r>
            <w:r w:rsidRPr="003C16D3">
              <w:rPr>
                <w:rFonts w:hint="cs"/>
                <w:rtl/>
              </w:rPr>
              <w:t xml:space="preserve">, </w:t>
            </w:r>
            <w:r w:rsidR="00E0235C">
              <w:rPr>
                <w:rFonts w:hint="cs"/>
                <w:rtl/>
              </w:rPr>
              <w:t>ש</w:t>
            </w:r>
            <w:r w:rsidRPr="003C16D3">
              <w:rPr>
                <w:rFonts w:hint="cs"/>
                <w:rtl/>
              </w:rPr>
              <w:t>מתקיימים בו הופעות או אירועים הפתוחים לציבור</w:t>
            </w:r>
            <w:r>
              <w:rPr>
                <w:rFonts w:hint="cs"/>
                <w:rtl/>
              </w:rPr>
              <w:t>,</w:t>
            </w:r>
            <w:r w:rsidRPr="003C16D3">
              <w:rPr>
                <w:rFonts w:hint="cs"/>
                <w:rtl/>
              </w:rPr>
              <w:t>"</w:t>
            </w:r>
            <w:r w:rsidR="00E0235C">
              <w:rPr>
                <w:rFonts w:hint="cs"/>
                <w:rtl/>
              </w:rPr>
              <w:t xml:space="preserve"> </w:t>
            </w:r>
            <w:proofErr w:type="spellStart"/>
            <w:r w:rsidR="00E0235C">
              <w:rPr>
                <w:rFonts w:hint="cs"/>
                <w:rtl/>
              </w:rPr>
              <w:t>ו</w:t>
            </w:r>
            <w:r>
              <w:rPr>
                <w:rFonts w:hint="cs"/>
                <w:rtl/>
              </w:rPr>
              <w:t>הסיפה</w:t>
            </w:r>
            <w:proofErr w:type="spellEnd"/>
            <w:r w:rsidRPr="003C16D3">
              <w:rPr>
                <w:rFonts w:hint="cs"/>
                <w:rtl/>
              </w:rPr>
              <w:t xml:space="preserve"> החל במילים "למעט חדר נפרד לחלוטין" </w:t>
            </w:r>
            <w:r>
              <w:rPr>
                <w:rtl/>
              </w:rPr>
              <w:t>–</w:t>
            </w:r>
            <w:r w:rsidR="00E0235C">
              <w:rPr>
                <w:rFonts w:hint="cs"/>
                <w:rtl/>
              </w:rPr>
              <w:t xml:space="preserve"> </w:t>
            </w:r>
            <w:r>
              <w:rPr>
                <w:rFonts w:hint="cs"/>
                <w:rtl/>
              </w:rPr>
              <w:t>ת</w:t>
            </w:r>
            <w:r w:rsidR="00E0235C">
              <w:rPr>
                <w:rFonts w:hint="cs"/>
                <w:rtl/>
              </w:rPr>
              <w:t>י</w:t>
            </w:r>
            <w:r w:rsidRPr="003C16D3">
              <w:rPr>
                <w:rFonts w:hint="cs"/>
                <w:rtl/>
              </w:rPr>
              <w:t>מחק</w:t>
            </w:r>
            <w:r>
              <w:rPr>
                <w:rFonts w:hint="cs"/>
                <w:rtl/>
              </w:rPr>
              <w:t>;</w:t>
            </w:r>
          </w:p>
        </w:tc>
      </w:tr>
      <w:tr w:rsidR="00027DEB" w:rsidRPr="003C16D3" w14:paraId="4DFDE36C" w14:textId="77777777" w:rsidTr="00C57C6F">
        <w:trPr>
          <w:cantSplit/>
        </w:trPr>
        <w:tc>
          <w:tcPr>
            <w:tcW w:w="1869" w:type="dxa"/>
          </w:tcPr>
          <w:p w14:paraId="2F247963" w14:textId="77777777" w:rsidR="00027DEB" w:rsidRDefault="00027DEB" w:rsidP="00C57C6F">
            <w:pPr>
              <w:pStyle w:val="TableSideHeading"/>
              <w:keepLines w:val="0"/>
              <w:ind w:left="57" w:right="0"/>
              <w:rPr>
                <w:rtl/>
              </w:rPr>
            </w:pPr>
          </w:p>
        </w:tc>
        <w:tc>
          <w:tcPr>
            <w:tcW w:w="624" w:type="dxa"/>
          </w:tcPr>
          <w:p w14:paraId="255197EB" w14:textId="77777777" w:rsidR="00027DEB" w:rsidRDefault="00027DEB" w:rsidP="00C57C6F">
            <w:pPr>
              <w:pStyle w:val="TableText"/>
              <w:rPr>
                <w:rtl/>
              </w:rPr>
            </w:pPr>
          </w:p>
        </w:tc>
        <w:tc>
          <w:tcPr>
            <w:tcW w:w="7145" w:type="dxa"/>
            <w:gridSpan w:val="7"/>
          </w:tcPr>
          <w:p w14:paraId="463DDAC0" w14:textId="77777777" w:rsidR="00027DEB" w:rsidRDefault="00027DEB" w:rsidP="00C57C6F">
            <w:pPr>
              <w:pStyle w:val="TableBlock"/>
              <w:rPr>
                <w:rtl/>
              </w:rPr>
            </w:pPr>
            <w:r>
              <w:rPr>
                <w:rFonts w:hint="cs"/>
                <w:rtl/>
              </w:rPr>
              <w:t>(2)</w:t>
            </w:r>
            <w:r>
              <w:rPr>
                <w:rtl/>
              </w:rPr>
              <w:tab/>
            </w:r>
            <w:r w:rsidRPr="003C16D3">
              <w:rPr>
                <w:rFonts w:hint="cs"/>
                <w:rtl/>
              </w:rPr>
              <w:t>במקום פרט 2 יבוא:</w:t>
            </w:r>
          </w:p>
        </w:tc>
      </w:tr>
      <w:tr w:rsidR="00E0235C" w14:paraId="5A284EE8" w14:textId="77777777" w:rsidTr="00E0235C">
        <w:trPr>
          <w:cantSplit/>
          <w:trHeight w:val="60"/>
        </w:trPr>
        <w:tc>
          <w:tcPr>
            <w:tcW w:w="1869" w:type="dxa"/>
          </w:tcPr>
          <w:p w14:paraId="1E8CE19A" w14:textId="77777777" w:rsidR="00E0235C" w:rsidRDefault="00E0235C">
            <w:pPr>
              <w:pStyle w:val="TableSideHeading"/>
            </w:pPr>
          </w:p>
        </w:tc>
        <w:tc>
          <w:tcPr>
            <w:tcW w:w="624" w:type="dxa"/>
          </w:tcPr>
          <w:p w14:paraId="1DB78F37" w14:textId="77777777" w:rsidR="00E0235C" w:rsidRDefault="00E0235C">
            <w:pPr>
              <w:pStyle w:val="TableText"/>
            </w:pPr>
          </w:p>
        </w:tc>
        <w:tc>
          <w:tcPr>
            <w:tcW w:w="624" w:type="dxa"/>
          </w:tcPr>
          <w:p w14:paraId="25FDE249" w14:textId="77777777" w:rsidR="00E0235C" w:rsidRDefault="00E0235C">
            <w:pPr>
              <w:pStyle w:val="TableText"/>
            </w:pPr>
          </w:p>
        </w:tc>
        <w:tc>
          <w:tcPr>
            <w:tcW w:w="6521" w:type="dxa"/>
            <w:gridSpan w:val="6"/>
          </w:tcPr>
          <w:p w14:paraId="17DED1EE" w14:textId="5867D017" w:rsidR="00E0235C" w:rsidRDefault="00E0235C">
            <w:pPr>
              <w:pStyle w:val="TableBlock"/>
            </w:pPr>
            <w:r>
              <w:rPr>
                <w:rFonts w:hint="cs"/>
                <w:rtl/>
              </w:rPr>
              <w:t>"2.</w:t>
            </w:r>
            <w:r>
              <w:rPr>
                <w:rtl/>
              </w:rPr>
              <w:tab/>
            </w:r>
            <w:r w:rsidRPr="003C16D3">
              <w:rPr>
                <w:rFonts w:hint="cs"/>
                <w:rtl/>
              </w:rPr>
              <w:t>בית חולים ומרפאה, לרבות מרחק של 10 מטרים מכניסות, יציאות ופתחי אוורור של המקום."</w:t>
            </w:r>
            <w:r>
              <w:rPr>
                <w:rFonts w:hint="cs"/>
                <w:rtl/>
              </w:rPr>
              <w:t>;</w:t>
            </w:r>
          </w:p>
        </w:tc>
      </w:tr>
      <w:tr w:rsidR="00027DEB" w:rsidRPr="003C16D3" w14:paraId="705FA045" w14:textId="77777777" w:rsidTr="00C57C6F">
        <w:trPr>
          <w:cantSplit/>
        </w:trPr>
        <w:tc>
          <w:tcPr>
            <w:tcW w:w="1869" w:type="dxa"/>
          </w:tcPr>
          <w:p w14:paraId="11F61589" w14:textId="77777777" w:rsidR="00027DEB" w:rsidRDefault="00027DEB" w:rsidP="00C57C6F">
            <w:pPr>
              <w:pStyle w:val="TableSideHeading"/>
              <w:keepLines w:val="0"/>
              <w:ind w:left="57" w:right="0"/>
              <w:rPr>
                <w:rtl/>
              </w:rPr>
            </w:pPr>
          </w:p>
        </w:tc>
        <w:tc>
          <w:tcPr>
            <w:tcW w:w="624" w:type="dxa"/>
          </w:tcPr>
          <w:p w14:paraId="28A4D4C1" w14:textId="77777777" w:rsidR="00027DEB" w:rsidRDefault="00027DEB" w:rsidP="00C57C6F">
            <w:pPr>
              <w:pStyle w:val="TableText"/>
              <w:rPr>
                <w:rtl/>
              </w:rPr>
            </w:pPr>
          </w:p>
        </w:tc>
        <w:tc>
          <w:tcPr>
            <w:tcW w:w="7145" w:type="dxa"/>
            <w:gridSpan w:val="7"/>
          </w:tcPr>
          <w:p w14:paraId="5682BB7D" w14:textId="77777777" w:rsidR="00027DEB" w:rsidRDefault="00027DEB" w:rsidP="00C57C6F">
            <w:pPr>
              <w:pStyle w:val="TableBlock"/>
              <w:rPr>
                <w:rtl/>
              </w:rPr>
            </w:pPr>
            <w:r>
              <w:rPr>
                <w:rFonts w:hint="cs"/>
                <w:rtl/>
              </w:rPr>
              <w:t>(3)</w:t>
            </w:r>
            <w:r>
              <w:rPr>
                <w:rtl/>
              </w:rPr>
              <w:tab/>
            </w:r>
            <w:r w:rsidRPr="003C16D3">
              <w:rPr>
                <w:rFonts w:hint="cs"/>
                <w:rtl/>
              </w:rPr>
              <w:t xml:space="preserve">במקום פרט </w:t>
            </w:r>
            <w:r>
              <w:rPr>
                <w:rFonts w:hint="cs"/>
                <w:rtl/>
              </w:rPr>
              <w:t>3</w:t>
            </w:r>
            <w:r w:rsidRPr="003C16D3">
              <w:rPr>
                <w:rFonts w:hint="cs"/>
                <w:rtl/>
              </w:rPr>
              <w:t xml:space="preserve"> יבוא:</w:t>
            </w:r>
          </w:p>
        </w:tc>
      </w:tr>
      <w:tr w:rsidR="00E0235C" w14:paraId="00587BCB" w14:textId="77777777" w:rsidTr="00E0235C">
        <w:trPr>
          <w:cantSplit/>
          <w:trHeight w:val="60"/>
        </w:trPr>
        <w:tc>
          <w:tcPr>
            <w:tcW w:w="1869" w:type="dxa"/>
          </w:tcPr>
          <w:p w14:paraId="21A6F1C7" w14:textId="77777777" w:rsidR="00E0235C" w:rsidRDefault="00E0235C">
            <w:pPr>
              <w:pStyle w:val="TableSideHeading"/>
            </w:pPr>
          </w:p>
        </w:tc>
        <w:tc>
          <w:tcPr>
            <w:tcW w:w="624" w:type="dxa"/>
          </w:tcPr>
          <w:p w14:paraId="1C961698" w14:textId="77777777" w:rsidR="00E0235C" w:rsidRDefault="00E0235C">
            <w:pPr>
              <w:pStyle w:val="TableText"/>
            </w:pPr>
          </w:p>
        </w:tc>
        <w:tc>
          <w:tcPr>
            <w:tcW w:w="624" w:type="dxa"/>
          </w:tcPr>
          <w:p w14:paraId="44ED7AA5" w14:textId="77777777" w:rsidR="00E0235C" w:rsidRDefault="00E0235C">
            <w:pPr>
              <w:pStyle w:val="TableText"/>
            </w:pPr>
          </w:p>
        </w:tc>
        <w:tc>
          <w:tcPr>
            <w:tcW w:w="6521" w:type="dxa"/>
            <w:gridSpan w:val="6"/>
          </w:tcPr>
          <w:p w14:paraId="6586D2F9" w14:textId="7036B9EA" w:rsidR="00E0235C" w:rsidRDefault="00E0235C">
            <w:pPr>
              <w:pStyle w:val="TableBlock"/>
            </w:pPr>
            <w:r>
              <w:rPr>
                <w:rFonts w:hint="cs"/>
                <w:rtl/>
              </w:rPr>
              <w:t>"3.</w:t>
            </w:r>
            <w:r>
              <w:rPr>
                <w:rtl/>
              </w:rPr>
              <w:tab/>
            </w:r>
            <w:r>
              <w:rPr>
                <w:rFonts w:hint="cs"/>
                <w:rtl/>
              </w:rPr>
              <w:t>בית מרקחת.";</w:t>
            </w:r>
          </w:p>
        </w:tc>
      </w:tr>
      <w:tr w:rsidR="00027DEB" w:rsidRPr="003C16D3" w14:paraId="06F6F945" w14:textId="77777777" w:rsidTr="00C57C6F">
        <w:trPr>
          <w:cantSplit/>
        </w:trPr>
        <w:tc>
          <w:tcPr>
            <w:tcW w:w="1869" w:type="dxa"/>
          </w:tcPr>
          <w:p w14:paraId="73CE2356" w14:textId="77777777" w:rsidR="00027DEB" w:rsidRDefault="00027DEB" w:rsidP="00C57C6F">
            <w:pPr>
              <w:pStyle w:val="TableSideHeading"/>
              <w:keepLines w:val="0"/>
              <w:ind w:left="57" w:right="0"/>
              <w:rPr>
                <w:rtl/>
              </w:rPr>
            </w:pPr>
          </w:p>
        </w:tc>
        <w:tc>
          <w:tcPr>
            <w:tcW w:w="624" w:type="dxa"/>
          </w:tcPr>
          <w:p w14:paraId="462E8C22" w14:textId="77777777" w:rsidR="00027DEB" w:rsidRDefault="00027DEB" w:rsidP="00C57C6F">
            <w:pPr>
              <w:pStyle w:val="TableText"/>
              <w:rPr>
                <w:rtl/>
              </w:rPr>
            </w:pPr>
          </w:p>
        </w:tc>
        <w:tc>
          <w:tcPr>
            <w:tcW w:w="7145" w:type="dxa"/>
            <w:gridSpan w:val="7"/>
          </w:tcPr>
          <w:p w14:paraId="02C2D1CB" w14:textId="77777777" w:rsidR="00027DEB" w:rsidRDefault="00027DEB" w:rsidP="00C57C6F">
            <w:pPr>
              <w:pStyle w:val="TableBlock"/>
              <w:rPr>
                <w:rtl/>
              </w:rPr>
            </w:pPr>
            <w:r>
              <w:rPr>
                <w:rFonts w:hint="cs"/>
                <w:rtl/>
              </w:rPr>
              <w:t>(4)</w:t>
            </w:r>
            <w:r>
              <w:rPr>
                <w:rtl/>
              </w:rPr>
              <w:tab/>
            </w:r>
            <w:r>
              <w:rPr>
                <w:rFonts w:hint="cs"/>
                <w:rtl/>
              </w:rPr>
              <w:t xml:space="preserve">בפרט 4, </w:t>
            </w:r>
            <w:proofErr w:type="spellStart"/>
            <w:r>
              <w:rPr>
                <w:rFonts w:hint="cs"/>
                <w:rtl/>
              </w:rPr>
              <w:t>הסיפה</w:t>
            </w:r>
            <w:proofErr w:type="spellEnd"/>
            <w:r>
              <w:rPr>
                <w:rFonts w:hint="cs"/>
                <w:rtl/>
              </w:rPr>
              <w:t xml:space="preserve"> החל במילים "הפתוחה לציבור" </w:t>
            </w:r>
            <w:r>
              <w:rPr>
                <w:rtl/>
              </w:rPr>
              <w:t>–</w:t>
            </w:r>
            <w:r>
              <w:rPr>
                <w:rFonts w:hint="cs"/>
                <w:rtl/>
              </w:rPr>
              <w:t xml:space="preserve"> תימחק;</w:t>
            </w:r>
          </w:p>
        </w:tc>
      </w:tr>
      <w:tr w:rsidR="00027DEB" w:rsidRPr="003C16D3" w14:paraId="55427B46" w14:textId="77777777" w:rsidTr="00C57C6F">
        <w:trPr>
          <w:cantSplit/>
        </w:trPr>
        <w:tc>
          <w:tcPr>
            <w:tcW w:w="1869" w:type="dxa"/>
          </w:tcPr>
          <w:p w14:paraId="4BC5791A" w14:textId="77777777" w:rsidR="00027DEB" w:rsidRDefault="00027DEB" w:rsidP="00C57C6F">
            <w:pPr>
              <w:pStyle w:val="TableSideHeading"/>
              <w:keepLines w:val="0"/>
              <w:ind w:left="57" w:right="0"/>
              <w:rPr>
                <w:rtl/>
              </w:rPr>
            </w:pPr>
          </w:p>
        </w:tc>
        <w:tc>
          <w:tcPr>
            <w:tcW w:w="624" w:type="dxa"/>
          </w:tcPr>
          <w:p w14:paraId="71C3AB48" w14:textId="77777777" w:rsidR="00027DEB" w:rsidRDefault="00027DEB" w:rsidP="00C57C6F">
            <w:pPr>
              <w:pStyle w:val="TableText"/>
              <w:rPr>
                <w:rtl/>
              </w:rPr>
            </w:pPr>
          </w:p>
        </w:tc>
        <w:tc>
          <w:tcPr>
            <w:tcW w:w="7145" w:type="dxa"/>
            <w:gridSpan w:val="7"/>
          </w:tcPr>
          <w:p w14:paraId="7A8ED9B2" w14:textId="77777777" w:rsidR="00027DEB" w:rsidRDefault="00027DEB" w:rsidP="00C57C6F">
            <w:pPr>
              <w:pStyle w:val="TableBlock"/>
              <w:rPr>
                <w:rtl/>
              </w:rPr>
            </w:pPr>
            <w:r>
              <w:rPr>
                <w:rFonts w:hint="cs"/>
                <w:rtl/>
              </w:rPr>
              <w:t>(5)</w:t>
            </w:r>
            <w:r>
              <w:rPr>
                <w:rtl/>
              </w:rPr>
              <w:tab/>
            </w:r>
            <w:r w:rsidRPr="003C16D3">
              <w:rPr>
                <w:rFonts w:hint="cs"/>
                <w:rtl/>
              </w:rPr>
              <w:t xml:space="preserve">במקום פרט </w:t>
            </w:r>
            <w:r w:rsidRPr="002671F5">
              <w:rPr>
                <w:rtl/>
              </w:rPr>
              <w:t>5</w:t>
            </w:r>
            <w:r w:rsidRPr="002671F5">
              <w:rPr>
                <w:rFonts w:hint="eastAsia"/>
                <w:rtl/>
              </w:rPr>
              <w:t>א</w:t>
            </w:r>
            <w:r w:rsidRPr="003C16D3">
              <w:rPr>
                <w:rFonts w:hint="cs"/>
                <w:rtl/>
              </w:rPr>
              <w:t xml:space="preserve"> יבוא:</w:t>
            </w:r>
          </w:p>
        </w:tc>
      </w:tr>
      <w:tr w:rsidR="00E0235C" w14:paraId="636F0979" w14:textId="77777777" w:rsidTr="00E0235C">
        <w:trPr>
          <w:cantSplit/>
          <w:trHeight w:val="60"/>
        </w:trPr>
        <w:tc>
          <w:tcPr>
            <w:tcW w:w="1869" w:type="dxa"/>
          </w:tcPr>
          <w:p w14:paraId="7E8740E3" w14:textId="77777777" w:rsidR="00E0235C" w:rsidRDefault="00E0235C">
            <w:pPr>
              <w:pStyle w:val="TableSideHeading"/>
            </w:pPr>
          </w:p>
        </w:tc>
        <w:tc>
          <w:tcPr>
            <w:tcW w:w="624" w:type="dxa"/>
          </w:tcPr>
          <w:p w14:paraId="25D14079" w14:textId="77777777" w:rsidR="00E0235C" w:rsidRDefault="00E0235C">
            <w:pPr>
              <w:pStyle w:val="TableText"/>
            </w:pPr>
          </w:p>
        </w:tc>
        <w:tc>
          <w:tcPr>
            <w:tcW w:w="624" w:type="dxa"/>
          </w:tcPr>
          <w:p w14:paraId="67A32D1C" w14:textId="77777777" w:rsidR="00E0235C" w:rsidRDefault="00E0235C">
            <w:pPr>
              <w:pStyle w:val="TableText"/>
            </w:pPr>
          </w:p>
        </w:tc>
        <w:tc>
          <w:tcPr>
            <w:tcW w:w="6521" w:type="dxa"/>
            <w:gridSpan w:val="6"/>
          </w:tcPr>
          <w:p w14:paraId="7A066C20" w14:textId="34917187" w:rsidR="00E0235C" w:rsidRDefault="00E0235C">
            <w:pPr>
              <w:pStyle w:val="TableBlock"/>
            </w:pPr>
            <w:r>
              <w:rPr>
                <w:rFonts w:hint="cs"/>
                <w:rtl/>
              </w:rPr>
              <w:t>"5א.</w:t>
            </w:r>
            <w:r>
              <w:rPr>
                <w:rtl/>
              </w:rPr>
              <w:tab/>
            </w:r>
            <w:r w:rsidRPr="004B4615">
              <w:rPr>
                <w:rFonts w:hint="cs"/>
                <w:rtl/>
              </w:rPr>
              <w:t>בניין של מוסד להשכלה גבוהה ושל מוסד לחינוך על תיכוני, לרבות מגורי תלמידים, ולרבות</w:t>
            </w:r>
            <w:r w:rsidRPr="004B4615">
              <w:rPr>
                <w:rtl/>
              </w:rPr>
              <w:t xml:space="preserve"> </w:t>
            </w:r>
            <w:r w:rsidRPr="004B4615">
              <w:rPr>
                <w:rFonts w:hint="cs"/>
                <w:rtl/>
              </w:rPr>
              <w:t>מרחק</w:t>
            </w:r>
            <w:r w:rsidRPr="004B4615">
              <w:rPr>
                <w:rtl/>
              </w:rPr>
              <w:t xml:space="preserve"> של 10 מטר</w:t>
            </w:r>
            <w:r w:rsidRPr="004B4615">
              <w:rPr>
                <w:rFonts w:hint="cs"/>
                <w:rtl/>
              </w:rPr>
              <w:t>ים</w:t>
            </w:r>
            <w:r w:rsidRPr="004B4615">
              <w:rPr>
                <w:rtl/>
              </w:rPr>
              <w:t xml:space="preserve"> מ</w:t>
            </w:r>
            <w:r w:rsidRPr="004B4615">
              <w:rPr>
                <w:rFonts w:hint="cs"/>
                <w:rtl/>
              </w:rPr>
              <w:t>כניסות, יציאות ופתחי אוורור."</w:t>
            </w:r>
            <w:r>
              <w:rPr>
                <w:rFonts w:hint="cs"/>
                <w:rtl/>
              </w:rPr>
              <w:t>;</w:t>
            </w:r>
          </w:p>
        </w:tc>
      </w:tr>
      <w:tr w:rsidR="00027DEB" w:rsidRPr="003C16D3" w14:paraId="2E8CF592" w14:textId="77777777" w:rsidTr="00C57C6F">
        <w:trPr>
          <w:cantSplit/>
        </w:trPr>
        <w:tc>
          <w:tcPr>
            <w:tcW w:w="1869" w:type="dxa"/>
          </w:tcPr>
          <w:p w14:paraId="4637E2E9" w14:textId="77777777" w:rsidR="00027DEB" w:rsidRDefault="00027DEB" w:rsidP="00C57C6F">
            <w:pPr>
              <w:pStyle w:val="TableSideHeading"/>
              <w:keepLines w:val="0"/>
              <w:ind w:left="57" w:right="0"/>
              <w:rPr>
                <w:rtl/>
              </w:rPr>
            </w:pPr>
          </w:p>
        </w:tc>
        <w:tc>
          <w:tcPr>
            <w:tcW w:w="624" w:type="dxa"/>
          </w:tcPr>
          <w:p w14:paraId="6908ECA5" w14:textId="77777777" w:rsidR="00027DEB" w:rsidRDefault="00027DEB" w:rsidP="00C57C6F">
            <w:pPr>
              <w:pStyle w:val="TableText"/>
              <w:rPr>
                <w:rtl/>
              </w:rPr>
            </w:pPr>
          </w:p>
        </w:tc>
        <w:tc>
          <w:tcPr>
            <w:tcW w:w="7145" w:type="dxa"/>
            <w:gridSpan w:val="7"/>
          </w:tcPr>
          <w:p w14:paraId="166B5447" w14:textId="77777777" w:rsidR="00027DEB" w:rsidRDefault="00027DEB" w:rsidP="00C57C6F">
            <w:pPr>
              <w:pStyle w:val="TableBlock"/>
              <w:rPr>
                <w:rtl/>
              </w:rPr>
            </w:pPr>
            <w:r>
              <w:rPr>
                <w:rFonts w:hint="cs"/>
                <w:rtl/>
              </w:rPr>
              <w:t>(6)</w:t>
            </w:r>
            <w:r>
              <w:rPr>
                <w:rtl/>
              </w:rPr>
              <w:tab/>
            </w:r>
            <w:r w:rsidRPr="004B4615">
              <w:rPr>
                <w:rFonts w:hint="cs"/>
                <w:rtl/>
              </w:rPr>
              <w:t>בפרט 8, המילים "בעת שיש בה נוסעים</w:t>
            </w:r>
            <w:r>
              <w:rPr>
                <w:rFonts w:hint="cs"/>
                <w:rtl/>
              </w:rPr>
              <w:t>; בפרט זה "מונית"</w:t>
            </w:r>
            <w:r w:rsidRPr="004B4615">
              <w:rPr>
                <w:rFonts w:hint="cs"/>
                <w:rtl/>
              </w:rPr>
              <w:t xml:space="preserve">" </w:t>
            </w:r>
            <w:r>
              <w:rPr>
                <w:rFonts w:hint="eastAsia"/>
                <w:rtl/>
              </w:rPr>
              <w:t>–</w:t>
            </w:r>
            <w:r>
              <w:rPr>
                <w:rFonts w:hint="cs"/>
                <w:rtl/>
              </w:rPr>
              <w:t xml:space="preserve"> </w:t>
            </w:r>
            <w:r w:rsidRPr="004B4615">
              <w:rPr>
                <w:rFonts w:hint="cs"/>
                <w:rtl/>
              </w:rPr>
              <w:t>יימחקו</w:t>
            </w:r>
            <w:r>
              <w:rPr>
                <w:rFonts w:hint="cs"/>
                <w:rtl/>
              </w:rPr>
              <w:t>;</w:t>
            </w:r>
          </w:p>
        </w:tc>
      </w:tr>
      <w:tr w:rsidR="00027DEB" w:rsidRPr="003C16D3" w14:paraId="67335F8C" w14:textId="77777777" w:rsidTr="00C57C6F">
        <w:trPr>
          <w:cantSplit/>
        </w:trPr>
        <w:tc>
          <w:tcPr>
            <w:tcW w:w="1869" w:type="dxa"/>
          </w:tcPr>
          <w:p w14:paraId="70B5AA58" w14:textId="77777777" w:rsidR="00027DEB" w:rsidRDefault="00027DEB" w:rsidP="00C57C6F">
            <w:pPr>
              <w:pStyle w:val="TableSideHeading"/>
              <w:keepLines w:val="0"/>
              <w:ind w:left="57" w:right="0"/>
              <w:rPr>
                <w:rtl/>
              </w:rPr>
            </w:pPr>
          </w:p>
        </w:tc>
        <w:tc>
          <w:tcPr>
            <w:tcW w:w="624" w:type="dxa"/>
          </w:tcPr>
          <w:p w14:paraId="0454D6AD" w14:textId="77777777" w:rsidR="00027DEB" w:rsidRDefault="00027DEB" w:rsidP="00C57C6F">
            <w:pPr>
              <w:pStyle w:val="TableText"/>
              <w:rPr>
                <w:rtl/>
              </w:rPr>
            </w:pPr>
          </w:p>
        </w:tc>
        <w:tc>
          <w:tcPr>
            <w:tcW w:w="7145" w:type="dxa"/>
            <w:gridSpan w:val="7"/>
          </w:tcPr>
          <w:p w14:paraId="45BC631E" w14:textId="49ABCE0A" w:rsidR="00027DEB" w:rsidRDefault="00027DEB" w:rsidP="00C57C6F">
            <w:pPr>
              <w:pStyle w:val="TableBlock"/>
              <w:rPr>
                <w:rtl/>
              </w:rPr>
            </w:pPr>
            <w:r>
              <w:rPr>
                <w:rFonts w:hint="cs"/>
                <w:rtl/>
              </w:rPr>
              <w:t>(7)</w:t>
            </w:r>
            <w:r>
              <w:rPr>
                <w:rtl/>
              </w:rPr>
              <w:tab/>
            </w:r>
            <w:r w:rsidRPr="00AD4BF8">
              <w:rPr>
                <w:rFonts w:hint="cs"/>
                <w:rtl/>
              </w:rPr>
              <w:t xml:space="preserve">בפרט 9א, </w:t>
            </w:r>
            <w:proofErr w:type="spellStart"/>
            <w:r w:rsidRPr="00AD4BF8">
              <w:rPr>
                <w:rFonts w:hint="cs"/>
                <w:rtl/>
              </w:rPr>
              <w:t>הסיפ</w:t>
            </w:r>
            <w:r>
              <w:rPr>
                <w:rFonts w:hint="cs"/>
                <w:rtl/>
              </w:rPr>
              <w:t>ה</w:t>
            </w:r>
            <w:proofErr w:type="spellEnd"/>
            <w:r w:rsidRPr="00AD4BF8">
              <w:rPr>
                <w:rFonts w:hint="cs"/>
                <w:rtl/>
              </w:rPr>
              <w:t xml:space="preserve"> החל במילים "למעט חדר נפרד לחלוטין" </w:t>
            </w:r>
            <w:r w:rsidR="00E0235C">
              <w:rPr>
                <w:rFonts w:hint="eastAsia"/>
                <w:rtl/>
              </w:rPr>
              <w:t>–</w:t>
            </w:r>
            <w:r w:rsidR="00E0235C">
              <w:rPr>
                <w:rFonts w:hint="cs"/>
                <w:rtl/>
              </w:rPr>
              <w:t xml:space="preserve"> </w:t>
            </w:r>
            <w:r w:rsidRPr="00AD4BF8">
              <w:rPr>
                <w:rFonts w:hint="cs"/>
                <w:rtl/>
              </w:rPr>
              <w:t>תימחק</w:t>
            </w:r>
            <w:r>
              <w:rPr>
                <w:rFonts w:hint="cs"/>
                <w:rtl/>
              </w:rPr>
              <w:t>;</w:t>
            </w:r>
          </w:p>
        </w:tc>
      </w:tr>
      <w:tr w:rsidR="00027DEB" w:rsidRPr="003C16D3" w14:paraId="0AFEF5DC" w14:textId="77777777" w:rsidTr="00C57C6F">
        <w:trPr>
          <w:cantSplit/>
        </w:trPr>
        <w:tc>
          <w:tcPr>
            <w:tcW w:w="1869" w:type="dxa"/>
          </w:tcPr>
          <w:p w14:paraId="38E55C0C" w14:textId="77777777" w:rsidR="00027DEB" w:rsidRDefault="00027DEB" w:rsidP="00C57C6F">
            <w:pPr>
              <w:pStyle w:val="TableSideHeading"/>
              <w:keepLines w:val="0"/>
              <w:ind w:left="57" w:right="0"/>
              <w:rPr>
                <w:rtl/>
              </w:rPr>
            </w:pPr>
          </w:p>
        </w:tc>
        <w:tc>
          <w:tcPr>
            <w:tcW w:w="624" w:type="dxa"/>
          </w:tcPr>
          <w:p w14:paraId="5208F833" w14:textId="77777777" w:rsidR="00027DEB" w:rsidRDefault="00027DEB" w:rsidP="00C57C6F">
            <w:pPr>
              <w:pStyle w:val="TableText"/>
              <w:rPr>
                <w:rtl/>
              </w:rPr>
            </w:pPr>
          </w:p>
        </w:tc>
        <w:tc>
          <w:tcPr>
            <w:tcW w:w="7145" w:type="dxa"/>
            <w:gridSpan w:val="7"/>
          </w:tcPr>
          <w:p w14:paraId="3D268D13" w14:textId="73381319" w:rsidR="00027DEB" w:rsidRDefault="00027DEB" w:rsidP="00E0235C">
            <w:pPr>
              <w:pStyle w:val="TableBlock"/>
              <w:rPr>
                <w:rtl/>
              </w:rPr>
            </w:pPr>
            <w:r>
              <w:rPr>
                <w:rFonts w:hint="cs"/>
                <w:rtl/>
              </w:rPr>
              <w:t>(8)</w:t>
            </w:r>
            <w:r>
              <w:rPr>
                <w:rtl/>
              </w:rPr>
              <w:tab/>
            </w:r>
            <w:r w:rsidRPr="003C16D3">
              <w:rPr>
                <w:rFonts w:hint="cs"/>
                <w:rtl/>
              </w:rPr>
              <w:t>בפרט 9ב, הקטע החל במילים "למעט אזור שהוקצה לעישון" עד</w:t>
            </w:r>
            <w:r>
              <w:rPr>
                <w:rFonts w:hint="cs"/>
                <w:rtl/>
              </w:rPr>
              <w:t xml:space="preserve"> המילים</w:t>
            </w:r>
            <w:r w:rsidRPr="003C16D3">
              <w:rPr>
                <w:rFonts w:hint="cs"/>
                <w:rtl/>
              </w:rPr>
              <w:t xml:space="preserve"> "בחלקים אחרים של המקום" </w:t>
            </w:r>
            <w:r>
              <w:rPr>
                <w:rFonts w:hint="cs"/>
                <w:rtl/>
              </w:rPr>
              <w:t xml:space="preserve"> </w:t>
            </w:r>
            <w:r w:rsidR="00E0235C">
              <w:rPr>
                <w:rFonts w:hint="eastAsia"/>
                <w:rtl/>
              </w:rPr>
              <w:t>–</w:t>
            </w:r>
            <w:r>
              <w:rPr>
                <w:rFonts w:hint="cs"/>
                <w:rtl/>
              </w:rPr>
              <w:t xml:space="preserve"> </w:t>
            </w:r>
            <w:r w:rsidRPr="003C16D3">
              <w:rPr>
                <w:rFonts w:hint="cs"/>
                <w:rtl/>
              </w:rPr>
              <w:t>יימחק</w:t>
            </w:r>
            <w:r>
              <w:rPr>
                <w:rFonts w:hint="cs"/>
                <w:rtl/>
              </w:rPr>
              <w:t>;</w:t>
            </w:r>
          </w:p>
        </w:tc>
      </w:tr>
      <w:tr w:rsidR="00027DEB" w:rsidRPr="003C16D3" w14:paraId="50DDC9B4" w14:textId="77777777" w:rsidTr="00C57C6F">
        <w:trPr>
          <w:cantSplit/>
        </w:trPr>
        <w:tc>
          <w:tcPr>
            <w:tcW w:w="1869" w:type="dxa"/>
          </w:tcPr>
          <w:p w14:paraId="722AB83C" w14:textId="77777777" w:rsidR="00027DEB" w:rsidRDefault="00027DEB" w:rsidP="00C57C6F">
            <w:pPr>
              <w:pStyle w:val="TableSideHeading"/>
              <w:keepLines w:val="0"/>
              <w:ind w:left="57" w:right="0"/>
              <w:rPr>
                <w:rtl/>
              </w:rPr>
            </w:pPr>
          </w:p>
        </w:tc>
        <w:tc>
          <w:tcPr>
            <w:tcW w:w="624" w:type="dxa"/>
          </w:tcPr>
          <w:p w14:paraId="6BEAC24A" w14:textId="77777777" w:rsidR="00027DEB" w:rsidRDefault="00027DEB" w:rsidP="00C57C6F">
            <w:pPr>
              <w:pStyle w:val="TableText"/>
              <w:rPr>
                <w:rtl/>
              </w:rPr>
            </w:pPr>
          </w:p>
        </w:tc>
        <w:tc>
          <w:tcPr>
            <w:tcW w:w="7145" w:type="dxa"/>
            <w:gridSpan w:val="7"/>
          </w:tcPr>
          <w:p w14:paraId="282C91B0" w14:textId="09B61221" w:rsidR="00027DEB" w:rsidRDefault="00027DEB" w:rsidP="00E0235C">
            <w:pPr>
              <w:pStyle w:val="TableBlock"/>
              <w:rPr>
                <w:rtl/>
              </w:rPr>
            </w:pPr>
            <w:r>
              <w:rPr>
                <w:rFonts w:hint="cs"/>
                <w:rtl/>
              </w:rPr>
              <w:t>(9)</w:t>
            </w:r>
            <w:r>
              <w:rPr>
                <w:rtl/>
              </w:rPr>
              <w:tab/>
            </w:r>
            <w:r w:rsidRPr="003C16D3">
              <w:rPr>
                <w:rtl/>
              </w:rPr>
              <w:t xml:space="preserve">בפרט 11, </w:t>
            </w:r>
            <w:r>
              <w:rPr>
                <w:rFonts w:hint="cs"/>
                <w:rtl/>
              </w:rPr>
              <w:t>הקטע</w:t>
            </w:r>
            <w:r w:rsidRPr="003C16D3">
              <w:rPr>
                <w:rFonts w:hint="cs"/>
                <w:rtl/>
              </w:rPr>
              <w:t xml:space="preserve"> החל </w:t>
            </w:r>
            <w:r>
              <w:rPr>
                <w:rFonts w:hint="cs"/>
                <w:rtl/>
              </w:rPr>
              <w:t xml:space="preserve">במילים "למעט חדר נפרד לחלוטין" </w:t>
            </w:r>
            <w:r w:rsidRPr="003C16D3">
              <w:rPr>
                <w:rFonts w:hint="cs"/>
                <w:rtl/>
              </w:rPr>
              <w:t xml:space="preserve">עד </w:t>
            </w:r>
            <w:r w:rsidR="00E0235C">
              <w:rPr>
                <w:rFonts w:hint="cs"/>
                <w:rtl/>
              </w:rPr>
              <w:t>ה</w:t>
            </w:r>
            <w:r w:rsidRPr="003C16D3">
              <w:rPr>
                <w:rFonts w:hint="cs"/>
                <w:rtl/>
              </w:rPr>
              <w:t>מ</w:t>
            </w:r>
            <w:r>
              <w:rPr>
                <w:rFonts w:hint="cs"/>
                <w:rtl/>
              </w:rPr>
              <w:t xml:space="preserve">ילים "רבע של השטח הפתוח לציבור" </w:t>
            </w:r>
            <w:r w:rsidR="00E0235C">
              <w:rPr>
                <w:rFonts w:hint="eastAsia"/>
                <w:rtl/>
              </w:rPr>
              <w:t>–</w:t>
            </w:r>
            <w:r>
              <w:rPr>
                <w:rFonts w:hint="cs"/>
                <w:rtl/>
              </w:rPr>
              <w:t xml:space="preserve"> יימחק</w:t>
            </w:r>
            <w:r w:rsidR="00E0235C">
              <w:rPr>
                <w:rFonts w:hint="cs"/>
                <w:rtl/>
              </w:rPr>
              <w:t>,</w:t>
            </w:r>
            <w:r w:rsidRPr="003C16D3">
              <w:rPr>
                <w:rFonts w:hint="cs"/>
                <w:rtl/>
              </w:rPr>
              <w:t xml:space="preserve"> </w:t>
            </w:r>
            <w:proofErr w:type="spellStart"/>
            <w:r>
              <w:rPr>
                <w:rFonts w:hint="cs"/>
                <w:rtl/>
              </w:rPr>
              <w:t>ו</w:t>
            </w:r>
            <w:r w:rsidRPr="003C16D3">
              <w:rPr>
                <w:rFonts w:hint="cs"/>
                <w:rtl/>
              </w:rPr>
              <w:t>ה</w:t>
            </w:r>
            <w:r w:rsidRPr="003C16D3">
              <w:rPr>
                <w:rtl/>
              </w:rPr>
              <w:t>סיפ</w:t>
            </w:r>
            <w:r>
              <w:rPr>
                <w:rFonts w:hint="cs"/>
                <w:rtl/>
              </w:rPr>
              <w:t>ה</w:t>
            </w:r>
            <w:proofErr w:type="spellEnd"/>
            <w:r>
              <w:rPr>
                <w:rFonts w:hint="cs"/>
                <w:rtl/>
              </w:rPr>
              <w:t xml:space="preserve"> החל</w:t>
            </w:r>
            <w:r w:rsidRPr="003C16D3">
              <w:rPr>
                <w:rtl/>
              </w:rPr>
              <w:t xml:space="preserve"> </w:t>
            </w:r>
            <w:r>
              <w:rPr>
                <w:rFonts w:hint="cs"/>
                <w:rtl/>
              </w:rPr>
              <w:t>ב</w:t>
            </w:r>
            <w:r w:rsidRPr="003C16D3">
              <w:rPr>
                <w:rtl/>
              </w:rPr>
              <w:t>מילי</w:t>
            </w:r>
            <w:r w:rsidRPr="003C16D3">
              <w:rPr>
                <w:rFonts w:hint="cs"/>
                <w:rtl/>
              </w:rPr>
              <w:t>ם "</w:t>
            </w:r>
            <w:r>
              <w:rPr>
                <w:rFonts w:hint="cs"/>
                <w:rtl/>
              </w:rPr>
              <w:t xml:space="preserve">(להלן </w:t>
            </w:r>
            <w:r>
              <w:rPr>
                <w:rtl/>
              </w:rPr>
              <w:t>–</w:t>
            </w:r>
            <w:r>
              <w:rPr>
                <w:rFonts w:hint="cs"/>
                <w:rtl/>
              </w:rPr>
              <w:t xml:space="preserve"> אזור)</w:t>
            </w:r>
            <w:r w:rsidRPr="003C16D3">
              <w:rPr>
                <w:rFonts w:hint="cs"/>
                <w:rtl/>
              </w:rPr>
              <w:t>"</w:t>
            </w:r>
            <w:r>
              <w:rPr>
                <w:rFonts w:hint="cs"/>
                <w:rtl/>
              </w:rPr>
              <w:t xml:space="preserve"> </w:t>
            </w:r>
            <w:r>
              <w:rPr>
                <w:rtl/>
              </w:rPr>
              <w:t>–</w:t>
            </w:r>
            <w:r w:rsidRPr="003C16D3">
              <w:rPr>
                <w:rtl/>
              </w:rPr>
              <w:t xml:space="preserve"> תימחק</w:t>
            </w:r>
            <w:r>
              <w:rPr>
                <w:rFonts w:hint="cs"/>
                <w:rtl/>
              </w:rPr>
              <w:t>;</w:t>
            </w:r>
          </w:p>
        </w:tc>
      </w:tr>
      <w:tr w:rsidR="00027DEB" w:rsidRPr="003C16D3" w14:paraId="45F15CFE" w14:textId="77777777" w:rsidTr="00C57C6F">
        <w:trPr>
          <w:cantSplit/>
        </w:trPr>
        <w:tc>
          <w:tcPr>
            <w:tcW w:w="1869" w:type="dxa"/>
          </w:tcPr>
          <w:p w14:paraId="678FE424" w14:textId="77777777" w:rsidR="00027DEB" w:rsidRDefault="00027DEB" w:rsidP="00C57C6F">
            <w:pPr>
              <w:pStyle w:val="TableSideHeading"/>
              <w:keepLines w:val="0"/>
              <w:ind w:left="57" w:right="0"/>
              <w:rPr>
                <w:rtl/>
              </w:rPr>
            </w:pPr>
          </w:p>
        </w:tc>
        <w:tc>
          <w:tcPr>
            <w:tcW w:w="624" w:type="dxa"/>
          </w:tcPr>
          <w:p w14:paraId="16302C8C" w14:textId="77777777" w:rsidR="00027DEB" w:rsidRDefault="00027DEB" w:rsidP="00C57C6F">
            <w:pPr>
              <w:pStyle w:val="TableText"/>
              <w:rPr>
                <w:rtl/>
              </w:rPr>
            </w:pPr>
          </w:p>
        </w:tc>
        <w:tc>
          <w:tcPr>
            <w:tcW w:w="7145" w:type="dxa"/>
            <w:gridSpan w:val="7"/>
          </w:tcPr>
          <w:p w14:paraId="5129A6D0" w14:textId="77777777" w:rsidR="00027DEB" w:rsidRDefault="00027DEB" w:rsidP="00C57C6F">
            <w:pPr>
              <w:pStyle w:val="TableBlock"/>
              <w:rPr>
                <w:rtl/>
              </w:rPr>
            </w:pPr>
            <w:r>
              <w:rPr>
                <w:rFonts w:hint="cs"/>
                <w:rtl/>
              </w:rPr>
              <w:t>(10)</w:t>
            </w:r>
            <w:r>
              <w:rPr>
                <w:rtl/>
              </w:rPr>
              <w:tab/>
            </w:r>
            <w:r>
              <w:rPr>
                <w:rFonts w:hint="cs"/>
                <w:rtl/>
              </w:rPr>
              <w:t>במקום פרט 12 יבוא:</w:t>
            </w:r>
          </w:p>
        </w:tc>
      </w:tr>
      <w:tr w:rsidR="00E0235C" w14:paraId="51B5A525" w14:textId="77777777" w:rsidTr="00E0235C">
        <w:trPr>
          <w:cantSplit/>
          <w:trHeight w:val="60"/>
        </w:trPr>
        <w:tc>
          <w:tcPr>
            <w:tcW w:w="1869" w:type="dxa"/>
          </w:tcPr>
          <w:p w14:paraId="4ABD210F" w14:textId="77777777" w:rsidR="00E0235C" w:rsidRDefault="00E0235C">
            <w:pPr>
              <w:pStyle w:val="TableSideHeading"/>
            </w:pPr>
          </w:p>
        </w:tc>
        <w:tc>
          <w:tcPr>
            <w:tcW w:w="624" w:type="dxa"/>
          </w:tcPr>
          <w:p w14:paraId="54AA0E32" w14:textId="77777777" w:rsidR="00E0235C" w:rsidRDefault="00E0235C">
            <w:pPr>
              <w:pStyle w:val="TableText"/>
            </w:pPr>
          </w:p>
        </w:tc>
        <w:tc>
          <w:tcPr>
            <w:tcW w:w="624" w:type="dxa"/>
          </w:tcPr>
          <w:p w14:paraId="1AEF7486" w14:textId="77777777" w:rsidR="00E0235C" w:rsidRDefault="00E0235C">
            <w:pPr>
              <w:pStyle w:val="TableText"/>
            </w:pPr>
          </w:p>
        </w:tc>
        <w:tc>
          <w:tcPr>
            <w:tcW w:w="6521" w:type="dxa"/>
            <w:gridSpan w:val="6"/>
          </w:tcPr>
          <w:p w14:paraId="6F5602C8" w14:textId="68CE66E4" w:rsidR="00E0235C" w:rsidRDefault="00E0235C">
            <w:pPr>
              <w:pStyle w:val="TableBlock"/>
            </w:pPr>
            <w:r>
              <w:rPr>
                <w:rFonts w:hint="cs"/>
                <w:rtl/>
              </w:rPr>
              <w:t>"12.</w:t>
            </w:r>
            <w:r>
              <w:rPr>
                <w:rtl/>
              </w:rPr>
              <w:tab/>
            </w:r>
            <w:r w:rsidRPr="003C16D3">
              <w:rPr>
                <w:rFonts w:hint="cs"/>
                <w:rtl/>
              </w:rPr>
              <w:t>מקום המשמש לפעילות גופנית או לספורט, לרבות בריכת שחייה ולרבות החצר שלה."</w:t>
            </w:r>
            <w:r>
              <w:rPr>
                <w:rFonts w:hint="cs"/>
                <w:rtl/>
              </w:rPr>
              <w:t>;</w:t>
            </w:r>
          </w:p>
        </w:tc>
      </w:tr>
      <w:tr w:rsidR="00027DEB" w:rsidRPr="003C16D3" w14:paraId="2103C06B" w14:textId="77777777" w:rsidTr="00C57C6F">
        <w:trPr>
          <w:cantSplit/>
        </w:trPr>
        <w:tc>
          <w:tcPr>
            <w:tcW w:w="1869" w:type="dxa"/>
          </w:tcPr>
          <w:p w14:paraId="61294375" w14:textId="77777777" w:rsidR="00027DEB" w:rsidRDefault="00027DEB" w:rsidP="00C57C6F">
            <w:pPr>
              <w:pStyle w:val="TableSideHeading"/>
              <w:keepLines w:val="0"/>
              <w:ind w:left="57" w:right="0"/>
              <w:rPr>
                <w:rtl/>
              </w:rPr>
            </w:pPr>
          </w:p>
        </w:tc>
        <w:tc>
          <w:tcPr>
            <w:tcW w:w="624" w:type="dxa"/>
          </w:tcPr>
          <w:p w14:paraId="070DD106" w14:textId="77777777" w:rsidR="00027DEB" w:rsidRDefault="00027DEB" w:rsidP="00C57C6F">
            <w:pPr>
              <w:pStyle w:val="TableText"/>
              <w:rPr>
                <w:rtl/>
              </w:rPr>
            </w:pPr>
          </w:p>
        </w:tc>
        <w:tc>
          <w:tcPr>
            <w:tcW w:w="7145" w:type="dxa"/>
            <w:gridSpan w:val="7"/>
          </w:tcPr>
          <w:p w14:paraId="38188DC6" w14:textId="1F2785B2" w:rsidR="00027DEB" w:rsidRDefault="00027DEB" w:rsidP="00E0235C">
            <w:pPr>
              <w:pStyle w:val="TableBlock"/>
              <w:rPr>
                <w:rtl/>
              </w:rPr>
            </w:pPr>
            <w:r>
              <w:rPr>
                <w:rFonts w:hint="cs"/>
                <w:rtl/>
              </w:rPr>
              <w:t>(11)</w:t>
            </w:r>
            <w:r>
              <w:rPr>
                <w:rtl/>
              </w:rPr>
              <w:tab/>
            </w:r>
            <w:r w:rsidRPr="003C16D3">
              <w:rPr>
                <w:rFonts w:hint="cs"/>
                <w:rtl/>
              </w:rPr>
              <w:t xml:space="preserve">פרט 12א </w:t>
            </w:r>
            <w:r w:rsidR="00E0235C">
              <w:rPr>
                <w:rFonts w:hint="eastAsia"/>
                <w:rtl/>
              </w:rPr>
              <w:t>–</w:t>
            </w:r>
            <w:r w:rsidR="00E0235C">
              <w:rPr>
                <w:rFonts w:hint="cs"/>
                <w:rtl/>
              </w:rPr>
              <w:t xml:space="preserve"> </w:t>
            </w:r>
            <w:r w:rsidRPr="003C16D3">
              <w:rPr>
                <w:rFonts w:hint="cs"/>
                <w:rtl/>
              </w:rPr>
              <w:t>יימחק</w:t>
            </w:r>
            <w:r>
              <w:rPr>
                <w:rFonts w:hint="cs"/>
                <w:rtl/>
              </w:rPr>
              <w:t>;</w:t>
            </w:r>
          </w:p>
        </w:tc>
      </w:tr>
      <w:tr w:rsidR="00027DEB" w:rsidRPr="003C16D3" w14:paraId="5B16D2A5" w14:textId="77777777" w:rsidTr="00C57C6F">
        <w:trPr>
          <w:cantSplit/>
        </w:trPr>
        <w:tc>
          <w:tcPr>
            <w:tcW w:w="1869" w:type="dxa"/>
          </w:tcPr>
          <w:p w14:paraId="27F99A65" w14:textId="77777777" w:rsidR="00027DEB" w:rsidRDefault="00027DEB" w:rsidP="00C57C6F">
            <w:pPr>
              <w:pStyle w:val="TableSideHeading"/>
              <w:keepLines w:val="0"/>
              <w:ind w:left="57" w:right="0"/>
              <w:rPr>
                <w:rtl/>
              </w:rPr>
            </w:pPr>
          </w:p>
        </w:tc>
        <w:tc>
          <w:tcPr>
            <w:tcW w:w="624" w:type="dxa"/>
          </w:tcPr>
          <w:p w14:paraId="2DA4E025" w14:textId="77777777" w:rsidR="00027DEB" w:rsidRDefault="00027DEB" w:rsidP="00C57C6F">
            <w:pPr>
              <w:pStyle w:val="TableText"/>
              <w:rPr>
                <w:rtl/>
              </w:rPr>
            </w:pPr>
          </w:p>
        </w:tc>
        <w:tc>
          <w:tcPr>
            <w:tcW w:w="7145" w:type="dxa"/>
            <w:gridSpan w:val="7"/>
          </w:tcPr>
          <w:p w14:paraId="2937C1E9" w14:textId="582F02D7" w:rsidR="00027DEB" w:rsidRDefault="00027DEB" w:rsidP="00E0235C">
            <w:pPr>
              <w:pStyle w:val="TableBlock"/>
              <w:rPr>
                <w:rtl/>
              </w:rPr>
            </w:pPr>
            <w:r>
              <w:rPr>
                <w:rFonts w:hint="cs"/>
                <w:rtl/>
              </w:rPr>
              <w:t>(12)</w:t>
            </w:r>
            <w:r>
              <w:rPr>
                <w:rtl/>
              </w:rPr>
              <w:tab/>
            </w:r>
            <w:r w:rsidRPr="003C16D3">
              <w:rPr>
                <w:rFonts w:hint="cs"/>
                <w:rtl/>
              </w:rPr>
              <w:t>בפרט 12ב</w:t>
            </w:r>
            <w:r>
              <w:rPr>
                <w:rFonts w:hint="cs"/>
                <w:rtl/>
              </w:rPr>
              <w:t>,</w:t>
            </w:r>
            <w:r w:rsidRPr="003C16D3">
              <w:rPr>
                <w:rFonts w:hint="cs"/>
                <w:rtl/>
              </w:rPr>
              <w:t xml:space="preserve"> </w:t>
            </w:r>
            <w:proofErr w:type="spellStart"/>
            <w:r w:rsidRPr="003C16D3">
              <w:rPr>
                <w:rFonts w:hint="cs"/>
                <w:rtl/>
              </w:rPr>
              <w:t>הסיפ</w:t>
            </w:r>
            <w:r>
              <w:rPr>
                <w:rFonts w:hint="cs"/>
                <w:rtl/>
              </w:rPr>
              <w:t>ה</w:t>
            </w:r>
            <w:proofErr w:type="spellEnd"/>
            <w:r w:rsidRPr="003C16D3">
              <w:rPr>
                <w:rFonts w:hint="cs"/>
                <w:rtl/>
              </w:rPr>
              <w:t xml:space="preserve"> החל במילים "למעט במקומות שהוקצו לעישון" </w:t>
            </w:r>
            <w:r w:rsidR="00E0235C">
              <w:rPr>
                <w:rFonts w:hint="eastAsia"/>
                <w:rtl/>
              </w:rPr>
              <w:t>–</w:t>
            </w:r>
            <w:r w:rsidR="00E0235C">
              <w:rPr>
                <w:rFonts w:hint="cs"/>
                <w:rtl/>
              </w:rPr>
              <w:t xml:space="preserve"> </w:t>
            </w:r>
            <w:r w:rsidRPr="003C16D3">
              <w:rPr>
                <w:rFonts w:hint="cs"/>
                <w:rtl/>
              </w:rPr>
              <w:t>תימחק</w:t>
            </w:r>
            <w:r>
              <w:rPr>
                <w:rFonts w:hint="cs"/>
                <w:rtl/>
              </w:rPr>
              <w:t>;</w:t>
            </w:r>
          </w:p>
        </w:tc>
      </w:tr>
      <w:tr w:rsidR="00027DEB" w:rsidRPr="003C16D3" w14:paraId="1FD4B5E0" w14:textId="77777777" w:rsidTr="00C57C6F">
        <w:trPr>
          <w:cantSplit/>
        </w:trPr>
        <w:tc>
          <w:tcPr>
            <w:tcW w:w="1869" w:type="dxa"/>
          </w:tcPr>
          <w:p w14:paraId="159BFD54" w14:textId="77777777" w:rsidR="00027DEB" w:rsidRDefault="00027DEB" w:rsidP="00C57C6F">
            <w:pPr>
              <w:pStyle w:val="TableSideHeading"/>
              <w:keepLines w:val="0"/>
              <w:ind w:left="57" w:right="0"/>
              <w:rPr>
                <w:rtl/>
              </w:rPr>
            </w:pPr>
          </w:p>
        </w:tc>
        <w:tc>
          <w:tcPr>
            <w:tcW w:w="624" w:type="dxa"/>
          </w:tcPr>
          <w:p w14:paraId="1C523CE2" w14:textId="77777777" w:rsidR="00027DEB" w:rsidRDefault="00027DEB" w:rsidP="00C57C6F">
            <w:pPr>
              <w:pStyle w:val="TableText"/>
              <w:rPr>
                <w:rtl/>
              </w:rPr>
            </w:pPr>
          </w:p>
        </w:tc>
        <w:tc>
          <w:tcPr>
            <w:tcW w:w="7145" w:type="dxa"/>
            <w:gridSpan w:val="7"/>
          </w:tcPr>
          <w:p w14:paraId="19F67AE0" w14:textId="77777777" w:rsidR="00027DEB" w:rsidRDefault="00027DEB" w:rsidP="00C57C6F">
            <w:pPr>
              <w:pStyle w:val="TableBlock"/>
              <w:rPr>
                <w:rtl/>
              </w:rPr>
            </w:pPr>
            <w:r>
              <w:rPr>
                <w:rFonts w:hint="cs"/>
                <w:rtl/>
              </w:rPr>
              <w:t>(13)</w:t>
            </w:r>
            <w:r>
              <w:rPr>
                <w:rtl/>
              </w:rPr>
              <w:tab/>
            </w:r>
            <w:r w:rsidRPr="003C16D3">
              <w:rPr>
                <w:rFonts w:hint="cs"/>
                <w:rtl/>
              </w:rPr>
              <w:t>במקום פרט 13 יבוא:</w:t>
            </w:r>
          </w:p>
        </w:tc>
      </w:tr>
      <w:tr w:rsidR="00E0235C" w14:paraId="0EB76700" w14:textId="77777777" w:rsidTr="00E0235C">
        <w:trPr>
          <w:cantSplit/>
          <w:trHeight w:val="60"/>
        </w:trPr>
        <w:tc>
          <w:tcPr>
            <w:tcW w:w="1869" w:type="dxa"/>
          </w:tcPr>
          <w:p w14:paraId="514E2F70" w14:textId="77777777" w:rsidR="00E0235C" w:rsidRDefault="00E0235C" w:rsidP="00E0235C">
            <w:pPr>
              <w:pStyle w:val="TableSideHeading"/>
            </w:pPr>
          </w:p>
        </w:tc>
        <w:tc>
          <w:tcPr>
            <w:tcW w:w="624" w:type="dxa"/>
          </w:tcPr>
          <w:p w14:paraId="3F7ECA22" w14:textId="77777777" w:rsidR="00E0235C" w:rsidRDefault="00E0235C" w:rsidP="00E0235C">
            <w:pPr>
              <w:pStyle w:val="TableText"/>
            </w:pPr>
          </w:p>
        </w:tc>
        <w:tc>
          <w:tcPr>
            <w:tcW w:w="624" w:type="dxa"/>
          </w:tcPr>
          <w:p w14:paraId="7E1D4A26" w14:textId="77777777" w:rsidR="00E0235C" w:rsidRDefault="00E0235C" w:rsidP="00E0235C">
            <w:pPr>
              <w:pStyle w:val="TableText"/>
            </w:pPr>
          </w:p>
        </w:tc>
        <w:tc>
          <w:tcPr>
            <w:tcW w:w="6521" w:type="dxa"/>
            <w:gridSpan w:val="6"/>
          </w:tcPr>
          <w:p w14:paraId="44B27ECD" w14:textId="49A77B3C" w:rsidR="00E0235C" w:rsidRDefault="00E0235C" w:rsidP="00E0235C">
            <w:pPr>
              <w:pStyle w:val="TableBlock"/>
            </w:pPr>
            <w:r>
              <w:rPr>
                <w:rFonts w:hint="cs"/>
                <w:rtl/>
              </w:rPr>
              <w:t>"13.</w:t>
            </w:r>
            <w:r>
              <w:rPr>
                <w:rtl/>
              </w:rPr>
              <w:tab/>
            </w:r>
            <w:r w:rsidRPr="008E08F3">
              <w:rPr>
                <w:rFonts w:hint="cs"/>
                <w:rtl/>
              </w:rPr>
              <w:t>גן ילדים, מעון ילדים, בית ילדים וגן שעשועים ציבורי לילדים."</w:t>
            </w:r>
            <w:r>
              <w:rPr>
                <w:rFonts w:hint="cs"/>
                <w:rtl/>
              </w:rPr>
              <w:t>;</w:t>
            </w:r>
          </w:p>
        </w:tc>
      </w:tr>
      <w:tr w:rsidR="00E0235C" w:rsidRPr="003C16D3" w14:paraId="209EF283" w14:textId="77777777" w:rsidTr="00C57C6F">
        <w:trPr>
          <w:cantSplit/>
        </w:trPr>
        <w:tc>
          <w:tcPr>
            <w:tcW w:w="1869" w:type="dxa"/>
          </w:tcPr>
          <w:p w14:paraId="6B85A7E8" w14:textId="77777777" w:rsidR="00E0235C" w:rsidRDefault="00E0235C" w:rsidP="00E0235C">
            <w:pPr>
              <w:pStyle w:val="TableSideHeading"/>
              <w:keepLines w:val="0"/>
              <w:ind w:left="57" w:right="0"/>
              <w:rPr>
                <w:rtl/>
              </w:rPr>
            </w:pPr>
          </w:p>
        </w:tc>
        <w:tc>
          <w:tcPr>
            <w:tcW w:w="624" w:type="dxa"/>
          </w:tcPr>
          <w:p w14:paraId="01875723" w14:textId="77777777" w:rsidR="00E0235C" w:rsidRDefault="00E0235C" w:rsidP="00E0235C">
            <w:pPr>
              <w:pStyle w:val="TableText"/>
              <w:rPr>
                <w:rtl/>
              </w:rPr>
            </w:pPr>
          </w:p>
        </w:tc>
        <w:tc>
          <w:tcPr>
            <w:tcW w:w="7145" w:type="dxa"/>
            <w:gridSpan w:val="7"/>
          </w:tcPr>
          <w:p w14:paraId="402683E6" w14:textId="77777777" w:rsidR="00E0235C" w:rsidRDefault="00E0235C" w:rsidP="00E0235C">
            <w:pPr>
              <w:pStyle w:val="TableBlock"/>
              <w:rPr>
                <w:rtl/>
              </w:rPr>
            </w:pPr>
            <w:r>
              <w:rPr>
                <w:rFonts w:hint="cs"/>
                <w:rtl/>
              </w:rPr>
              <w:t>(14)</w:t>
            </w:r>
            <w:r>
              <w:rPr>
                <w:rtl/>
              </w:rPr>
              <w:tab/>
            </w:r>
            <w:r>
              <w:rPr>
                <w:rFonts w:hint="cs"/>
                <w:rtl/>
              </w:rPr>
              <w:t>במקום פרט 14 יבוא:</w:t>
            </w:r>
          </w:p>
        </w:tc>
      </w:tr>
      <w:tr w:rsidR="00E0235C" w14:paraId="17A8D3DB" w14:textId="77777777" w:rsidTr="00E0235C">
        <w:trPr>
          <w:cantSplit/>
          <w:trHeight w:val="60"/>
        </w:trPr>
        <w:tc>
          <w:tcPr>
            <w:tcW w:w="1869" w:type="dxa"/>
          </w:tcPr>
          <w:p w14:paraId="392F916D" w14:textId="77777777" w:rsidR="00E0235C" w:rsidRDefault="00E0235C">
            <w:pPr>
              <w:pStyle w:val="TableSideHeading"/>
            </w:pPr>
          </w:p>
        </w:tc>
        <w:tc>
          <w:tcPr>
            <w:tcW w:w="624" w:type="dxa"/>
          </w:tcPr>
          <w:p w14:paraId="70EADA43" w14:textId="77777777" w:rsidR="00E0235C" w:rsidRDefault="00E0235C">
            <w:pPr>
              <w:pStyle w:val="TableText"/>
            </w:pPr>
          </w:p>
        </w:tc>
        <w:tc>
          <w:tcPr>
            <w:tcW w:w="624" w:type="dxa"/>
          </w:tcPr>
          <w:p w14:paraId="7CC42A1B" w14:textId="77777777" w:rsidR="00E0235C" w:rsidRDefault="00E0235C">
            <w:pPr>
              <w:pStyle w:val="TableText"/>
            </w:pPr>
          </w:p>
        </w:tc>
        <w:tc>
          <w:tcPr>
            <w:tcW w:w="6521" w:type="dxa"/>
            <w:gridSpan w:val="6"/>
          </w:tcPr>
          <w:p w14:paraId="0C90520F" w14:textId="07B982C5" w:rsidR="00E0235C" w:rsidRDefault="00E0235C">
            <w:pPr>
              <w:pStyle w:val="TableBlock"/>
            </w:pPr>
            <w:r>
              <w:rPr>
                <w:rFonts w:hint="cs"/>
                <w:rtl/>
              </w:rPr>
              <w:t>"14.</w:t>
            </w:r>
            <w:r>
              <w:rPr>
                <w:rtl/>
              </w:rPr>
              <w:tab/>
            </w:r>
            <w:r w:rsidRPr="003C16D3">
              <w:rPr>
                <w:rtl/>
              </w:rPr>
              <w:t>חדר או אולם ב</w:t>
            </w:r>
            <w:r w:rsidRPr="003C16D3">
              <w:rPr>
                <w:rFonts w:hint="cs"/>
                <w:rtl/>
              </w:rPr>
              <w:t xml:space="preserve">כל </w:t>
            </w:r>
            <w:r w:rsidRPr="003C16D3">
              <w:rPr>
                <w:rtl/>
              </w:rPr>
              <w:t>מקום שמשמש לקבלת קהל, שירות קהל והמתנת קהל, לרבות מסדרון, מעבר וחדר מדרגות</w:t>
            </w:r>
            <w:r w:rsidRPr="003C16D3">
              <w:rPr>
                <w:rFonts w:hint="cs"/>
                <w:rtl/>
              </w:rPr>
              <w:t>."</w:t>
            </w:r>
            <w:r>
              <w:rPr>
                <w:rFonts w:hint="cs"/>
                <w:rtl/>
              </w:rPr>
              <w:t>;</w:t>
            </w:r>
          </w:p>
        </w:tc>
      </w:tr>
      <w:tr w:rsidR="00E0235C" w:rsidRPr="003C16D3" w14:paraId="4188B75A" w14:textId="77777777" w:rsidTr="00C57C6F">
        <w:trPr>
          <w:cantSplit/>
        </w:trPr>
        <w:tc>
          <w:tcPr>
            <w:tcW w:w="1869" w:type="dxa"/>
          </w:tcPr>
          <w:p w14:paraId="00D74657" w14:textId="77777777" w:rsidR="00E0235C" w:rsidRDefault="00E0235C" w:rsidP="00E0235C">
            <w:pPr>
              <w:pStyle w:val="TableSideHeading"/>
              <w:keepLines w:val="0"/>
              <w:ind w:left="57" w:right="0"/>
              <w:rPr>
                <w:rtl/>
              </w:rPr>
            </w:pPr>
          </w:p>
        </w:tc>
        <w:tc>
          <w:tcPr>
            <w:tcW w:w="624" w:type="dxa"/>
          </w:tcPr>
          <w:p w14:paraId="5DB21BA5" w14:textId="77777777" w:rsidR="00E0235C" w:rsidRDefault="00E0235C" w:rsidP="00E0235C">
            <w:pPr>
              <w:pStyle w:val="TableText"/>
              <w:rPr>
                <w:rtl/>
              </w:rPr>
            </w:pPr>
          </w:p>
        </w:tc>
        <w:tc>
          <w:tcPr>
            <w:tcW w:w="7145" w:type="dxa"/>
            <w:gridSpan w:val="7"/>
          </w:tcPr>
          <w:p w14:paraId="14DB70F2" w14:textId="77777777" w:rsidR="00E0235C" w:rsidRDefault="00E0235C" w:rsidP="00E0235C">
            <w:pPr>
              <w:pStyle w:val="TableBlock"/>
              <w:rPr>
                <w:rtl/>
              </w:rPr>
            </w:pPr>
            <w:r>
              <w:rPr>
                <w:rFonts w:hint="cs"/>
                <w:rtl/>
              </w:rPr>
              <w:t>(15)</w:t>
            </w:r>
            <w:r>
              <w:rPr>
                <w:rtl/>
              </w:rPr>
              <w:tab/>
            </w:r>
            <w:r>
              <w:rPr>
                <w:rFonts w:hint="cs"/>
                <w:rtl/>
              </w:rPr>
              <w:t>במקום פרט 15 יבוא:</w:t>
            </w:r>
          </w:p>
        </w:tc>
      </w:tr>
      <w:tr w:rsidR="00E0235C" w14:paraId="5EF5FE1E" w14:textId="77777777" w:rsidTr="00E0235C">
        <w:trPr>
          <w:cantSplit/>
          <w:trHeight w:val="60"/>
        </w:trPr>
        <w:tc>
          <w:tcPr>
            <w:tcW w:w="1869" w:type="dxa"/>
          </w:tcPr>
          <w:p w14:paraId="72DA8399" w14:textId="77777777" w:rsidR="00E0235C" w:rsidRDefault="00E0235C">
            <w:pPr>
              <w:pStyle w:val="TableSideHeading"/>
            </w:pPr>
          </w:p>
        </w:tc>
        <w:tc>
          <w:tcPr>
            <w:tcW w:w="624" w:type="dxa"/>
          </w:tcPr>
          <w:p w14:paraId="43F78216" w14:textId="77777777" w:rsidR="00E0235C" w:rsidRDefault="00E0235C">
            <w:pPr>
              <w:pStyle w:val="TableText"/>
            </w:pPr>
          </w:p>
        </w:tc>
        <w:tc>
          <w:tcPr>
            <w:tcW w:w="624" w:type="dxa"/>
          </w:tcPr>
          <w:p w14:paraId="0946696D" w14:textId="77777777" w:rsidR="00E0235C" w:rsidRDefault="00E0235C">
            <w:pPr>
              <w:pStyle w:val="TableText"/>
            </w:pPr>
          </w:p>
        </w:tc>
        <w:tc>
          <w:tcPr>
            <w:tcW w:w="6521" w:type="dxa"/>
            <w:gridSpan w:val="6"/>
          </w:tcPr>
          <w:p w14:paraId="6D472F7F" w14:textId="17609344" w:rsidR="00E0235C" w:rsidRDefault="00E0235C">
            <w:pPr>
              <w:pStyle w:val="TableBlock"/>
            </w:pPr>
            <w:r>
              <w:rPr>
                <w:rFonts w:hint="cs"/>
                <w:rtl/>
              </w:rPr>
              <w:t>"15.</w:t>
            </w:r>
            <w:r>
              <w:rPr>
                <w:rtl/>
              </w:rPr>
              <w:tab/>
            </w:r>
            <w:r w:rsidRPr="003C6301">
              <w:rPr>
                <w:rFonts w:hint="cs"/>
                <w:rtl/>
              </w:rPr>
              <w:t>מקום עבודה</w:t>
            </w:r>
            <w:r w:rsidRPr="003C6301">
              <w:rPr>
                <w:rtl/>
              </w:rPr>
              <w:t>;</w:t>
            </w:r>
            <w:r w:rsidRPr="003C6301">
              <w:rPr>
                <w:rFonts w:hint="cs"/>
                <w:rtl/>
              </w:rPr>
              <w:t xml:space="preserve"> לעניין חוק זה, "מקום  עבודה" </w:t>
            </w:r>
            <w:r w:rsidRPr="003C6301">
              <w:rPr>
                <w:rtl/>
              </w:rPr>
              <w:t>–</w:t>
            </w:r>
            <w:r w:rsidRPr="003C6301">
              <w:rPr>
                <w:rFonts w:hint="cs"/>
                <w:rtl/>
              </w:rPr>
              <w:t xml:space="preserve"> רכב שמשמש לצרכי עבודה, וכן כל מקום בבניין שעובדים בו אנשים ושאינו משמש למגורים ולרבות מקום כאמור שמי שמבצע בו עבודה הוא במסגרת שירות בכוחות הביטחון המנויים בפסקאות (1) עד (5) שבסעיף 11."</w:t>
            </w:r>
            <w:r>
              <w:rPr>
                <w:rFonts w:hint="cs"/>
                <w:rtl/>
              </w:rPr>
              <w:t>;</w:t>
            </w:r>
          </w:p>
        </w:tc>
      </w:tr>
      <w:tr w:rsidR="00E0235C" w:rsidRPr="003C16D3" w14:paraId="05479D42" w14:textId="77777777" w:rsidTr="00C57C6F">
        <w:trPr>
          <w:cantSplit/>
        </w:trPr>
        <w:tc>
          <w:tcPr>
            <w:tcW w:w="1869" w:type="dxa"/>
          </w:tcPr>
          <w:p w14:paraId="4ADA07A8" w14:textId="77777777" w:rsidR="00E0235C" w:rsidRDefault="00E0235C" w:rsidP="00E0235C">
            <w:pPr>
              <w:pStyle w:val="TableSideHeading"/>
              <w:keepLines w:val="0"/>
              <w:ind w:left="57" w:right="0"/>
              <w:rPr>
                <w:rtl/>
              </w:rPr>
            </w:pPr>
          </w:p>
        </w:tc>
        <w:tc>
          <w:tcPr>
            <w:tcW w:w="624" w:type="dxa"/>
          </w:tcPr>
          <w:p w14:paraId="296481EA" w14:textId="77777777" w:rsidR="00E0235C" w:rsidRDefault="00E0235C" w:rsidP="00E0235C">
            <w:pPr>
              <w:pStyle w:val="TableText"/>
              <w:rPr>
                <w:rtl/>
              </w:rPr>
            </w:pPr>
          </w:p>
        </w:tc>
        <w:tc>
          <w:tcPr>
            <w:tcW w:w="7145" w:type="dxa"/>
            <w:gridSpan w:val="7"/>
          </w:tcPr>
          <w:p w14:paraId="0FD8A53C" w14:textId="5084B325" w:rsidR="00E0235C" w:rsidRDefault="00E0235C" w:rsidP="00E0235C">
            <w:pPr>
              <w:pStyle w:val="TableBlock"/>
              <w:rPr>
                <w:rtl/>
              </w:rPr>
            </w:pPr>
            <w:r>
              <w:rPr>
                <w:rFonts w:hint="cs"/>
                <w:rtl/>
              </w:rPr>
              <w:t>(16)</w:t>
            </w:r>
            <w:r>
              <w:rPr>
                <w:rtl/>
              </w:rPr>
              <w:tab/>
            </w:r>
            <w:r w:rsidRPr="003C16D3">
              <w:rPr>
                <w:rFonts w:hint="cs"/>
                <w:rtl/>
              </w:rPr>
              <w:t xml:space="preserve">פרט 15א </w:t>
            </w:r>
            <w:r>
              <w:rPr>
                <w:rFonts w:hint="cs"/>
                <w:rtl/>
              </w:rPr>
              <w:t xml:space="preserve"> </w:t>
            </w:r>
            <w:r>
              <w:rPr>
                <w:rFonts w:hint="eastAsia"/>
                <w:rtl/>
              </w:rPr>
              <w:t>–</w:t>
            </w:r>
            <w:r>
              <w:rPr>
                <w:rFonts w:hint="cs"/>
                <w:rtl/>
              </w:rPr>
              <w:t xml:space="preserve"> </w:t>
            </w:r>
            <w:r w:rsidRPr="003C16D3">
              <w:rPr>
                <w:rFonts w:hint="cs"/>
                <w:rtl/>
              </w:rPr>
              <w:t>יימחק</w:t>
            </w:r>
            <w:r>
              <w:rPr>
                <w:rFonts w:hint="cs"/>
                <w:rtl/>
              </w:rPr>
              <w:t>;</w:t>
            </w:r>
          </w:p>
        </w:tc>
      </w:tr>
      <w:tr w:rsidR="00E0235C" w:rsidRPr="003C16D3" w14:paraId="01C19634" w14:textId="77777777" w:rsidTr="00C57C6F">
        <w:trPr>
          <w:cantSplit/>
        </w:trPr>
        <w:tc>
          <w:tcPr>
            <w:tcW w:w="1869" w:type="dxa"/>
          </w:tcPr>
          <w:p w14:paraId="276891C5" w14:textId="77777777" w:rsidR="00E0235C" w:rsidRDefault="00E0235C" w:rsidP="00E0235C">
            <w:pPr>
              <w:pStyle w:val="TableSideHeading"/>
              <w:keepLines w:val="0"/>
              <w:ind w:left="57" w:right="0"/>
              <w:rPr>
                <w:rtl/>
              </w:rPr>
            </w:pPr>
          </w:p>
        </w:tc>
        <w:tc>
          <w:tcPr>
            <w:tcW w:w="624" w:type="dxa"/>
          </w:tcPr>
          <w:p w14:paraId="71ACED28" w14:textId="77777777" w:rsidR="00E0235C" w:rsidRDefault="00E0235C" w:rsidP="00E0235C">
            <w:pPr>
              <w:pStyle w:val="TableText"/>
              <w:rPr>
                <w:rtl/>
              </w:rPr>
            </w:pPr>
          </w:p>
        </w:tc>
        <w:tc>
          <w:tcPr>
            <w:tcW w:w="7145" w:type="dxa"/>
            <w:gridSpan w:val="7"/>
          </w:tcPr>
          <w:p w14:paraId="12131963" w14:textId="77777777" w:rsidR="00E0235C" w:rsidRDefault="00E0235C" w:rsidP="00E0235C">
            <w:pPr>
              <w:pStyle w:val="TableBlock"/>
              <w:rPr>
                <w:rtl/>
              </w:rPr>
            </w:pPr>
            <w:r>
              <w:rPr>
                <w:rFonts w:hint="cs"/>
                <w:rtl/>
              </w:rPr>
              <w:t>(17)</w:t>
            </w:r>
            <w:r>
              <w:rPr>
                <w:rtl/>
              </w:rPr>
              <w:tab/>
            </w:r>
            <w:r w:rsidRPr="003C16D3">
              <w:rPr>
                <w:rFonts w:hint="cs"/>
                <w:rtl/>
              </w:rPr>
              <w:t>במקום פרט 16 יבוא:</w:t>
            </w:r>
          </w:p>
        </w:tc>
      </w:tr>
      <w:tr w:rsidR="00E0235C" w14:paraId="051A0E7F" w14:textId="77777777" w:rsidTr="00E0235C">
        <w:trPr>
          <w:cantSplit/>
          <w:trHeight w:val="60"/>
        </w:trPr>
        <w:tc>
          <w:tcPr>
            <w:tcW w:w="1869" w:type="dxa"/>
          </w:tcPr>
          <w:p w14:paraId="6EFE64A7" w14:textId="77777777" w:rsidR="00E0235C" w:rsidRDefault="00E0235C">
            <w:pPr>
              <w:pStyle w:val="TableSideHeading"/>
            </w:pPr>
          </w:p>
        </w:tc>
        <w:tc>
          <w:tcPr>
            <w:tcW w:w="624" w:type="dxa"/>
          </w:tcPr>
          <w:p w14:paraId="3068496A" w14:textId="77777777" w:rsidR="00E0235C" w:rsidRDefault="00E0235C">
            <w:pPr>
              <w:pStyle w:val="TableText"/>
            </w:pPr>
          </w:p>
        </w:tc>
        <w:tc>
          <w:tcPr>
            <w:tcW w:w="624" w:type="dxa"/>
          </w:tcPr>
          <w:p w14:paraId="2BD52CF8" w14:textId="77777777" w:rsidR="00E0235C" w:rsidRDefault="00E0235C">
            <w:pPr>
              <w:pStyle w:val="TableText"/>
            </w:pPr>
          </w:p>
        </w:tc>
        <w:tc>
          <w:tcPr>
            <w:tcW w:w="6521" w:type="dxa"/>
            <w:gridSpan w:val="6"/>
          </w:tcPr>
          <w:p w14:paraId="2C2AE82F" w14:textId="4B5D249C" w:rsidR="00E0235C" w:rsidRDefault="00E0235C">
            <w:pPr>
              <w:pStyle w:val="TableBlock"/>
            </w:pPr>
            <w:r>
              <w:rPr>
                <w:rFonts w:hint="cs"/>
                <w:rtl/>
              </w:rPr>
              <w:t>"16.</w:t>
            </w:r>
            <w:r>
              <w:rPr>
                <w:rtl/>
              </w:rPr>
              <w:tab/>
            </w:r>
            <w:r w:rsidRPr="00AD3ECD">
              <w:rPr>
                <w:rtl/>
              </w:rPr>
              <w:t>קניון, לרבות קניון מקורה למחצה."</w:t>
            </w:r>
            <w:r>
              <w:rPr>
                <w:rFonts w:hint="cs"/>
                <w:rtl/>
              </w:rPr>
              <w:t>;</w:t>
            </w:r>
          </w:p>
        </w:tc>
      </w:tr>
      <w:tr w:rsidR="00E0235C" w:rsidRPr="003C16D3" w14:paraId="057F4003" w14:textId="77777777" w:rsidTr="00C57C6F">
        <w:trPr>
          <w:cantSplit/>
        </w:trPr>
        <w:tc>
          <w:tcPr>
            <w:tcW w:w="1869" w:type="dxa"/>
          </w:tcPr>
          <w:p w14:paraId="3244DC58" w14:textId="77777777" w:rsidR="00E0235C" w:rsidRDefault="00E0235C" w:rsidP="00E0235C">
            <w:pPr>
              <w:pStyle w:val="TableSideHeading"/>
              <w:keepLines w:val="0"/>
              <w:ind w:left="57" w:right="0"/>
              <w:rPr>
                <w:rtl/>
              </w:rPr>
            </w:pPr>
          </w:p>
        </w:tc>
        <w:tc>
          <w:tcPr>
            <w:tcW w:w="624" w:type="dxa"/>
          </w:tcPr>
          <w:p w14:paraId="16C5EE8B" w14:textId="77777777" w:rsidR="00E0235C" w:rsidRDefault="00E0235C" w:rsidP="00E0235C">
            <w:pPr>
              <w:pStyle w:val="TableText"/>
              <w:rPr>
                <w:rtl/>
              </w:rPr>
            </w:pPr>
          </w:p>
        </w:tc>
        <w:tc>
          <w:tcPr>
            <w:tcW w:w="7145" w:type="dxa"/>
            <w:gridSpan w:val="7"/>
          </w:tcPr>
          <w:p w14:paraId="425D046A" w14:textId="6901F8FD" w:rsidR="00E0235C" w:rsidRDefault="00E0235C" w:rsidP="00E0235C">
            <w:pPr>
              <w:pStyle w:val="TableBlock"/>
              <w:rPr>
                <w:rtl/>
              </w:rPr>
            </w:pPr>
            <w:r>
              <w:rPr>
                <w:rFonts w:hint="cs"/>
                <w:rtl/>
              </w:rPr>
              <w:t>(18)</w:t>
            </w:r>
            <w:r>
              <w:rPr>
                <w:rtl/>
              </w:rPr>
              <w:tab/>
            </w:r>
            <w:r w:rsidRPr="003C16D3">
              <w:rPr>
                <w:rFonts w:hint="cs"/>
                <w:rtl/>
              </w:rPr>
              <w:t xml:space="preserve">בפרט 17, </w:t>
            </w:r>
            <w:r>
              <w:rPr>
                <w:rFonts w:hint="cs"/>
                <w:rtl/>
              </w:rPr>
              <w:t>הקטע</w:t>
            </w:r>
            <w:r w:rsidRPr="003C16D3">
              <w:rPr>
                <w:rFonts w:hint="cs"/>
                <w:rtl/>
              </w:rPr>
              <w:t xml:space="preserve"> החל במילים "למעט חדר נפרד לחלוטין</w:t>
            </w:r>
            <w:r>
              <w:rPr>
                <w:rFonts w:hint="cs"/>
                <w:rtl/>
              </w:rPr>
              <w:t>"</w:t>
            </w:r>
            <w:r w:rsidRPr="003C16D3">
              <w:rPr>
                <w:rFonts w:hint="cs"/>
                <w:rtl/>
              </w:rPr>
              <w:t xml:space="preserve"> </w:t>
            </w:r>
            <w:r>
              <w:rPr>
                <w:rFonts w:hint="cs"/>
                <w:rtl/>
              </w:rPr>
              <w:t>עד ה</w:t>
            </w:r>
            <w:r w:rsidRPr="003C16D3">
              <w:rPr>
                <w:rFonts w:hint="cs"/>
                <w:rtl/>
              </w:rPr>
              <w:t xml:space="preserve">מילים "רבע של השטח הפתוח לציבור" </w:t>
            </w:r>
            <w:r>
              <w:rPr>
                <w:rFonts w:hint="eastAsia"/>
                <w:rtl/>
              </w:rPr>
              <w:t>–</w:t>
            </w:r>
            <w:r>
              <w:rPr>
                <w:rFonts w:hint="cs"/>
                <w:rtl/>
              </w:rPr>
              <w:t xml:space="preserve"> </w:t>
            </w:r>
            <w:r w:rsidRPr="003C16D3">
              <w:rPr>
                <w:rFonts w:hint="cs"/>
                <w:rtl/>
              </w:rPr>
              <w:t>יימחק</w:t>
            </w:r>
            <w:r>
              <w:rPr>
                <w:rFonts w:hint="cs"/>
                <w:rtl/>
              </w:rPr>
              <w:t>,</w:t>
            </w:r>
            <w:r w:rsidRPr="003C16D3">
              <w:rPr>
                <w:rFonts w:hint="cs"/>
                <w:rtl/>
              </w:rPr>
              <w:t xml:space="preserve"> </w:t>
            </w:r>
            <w:proofErr w:type="spellStart"/>
            <w:r>
              <w:rPr>
                <w:rFonts w:hint="cs"/>
                <w:rtl/>
              </w:rPr>
              <w:t>ו</w:t>
            </w:r>
            <w:r w:rsidRPr="003C16D3">
              <w:rPr>
                <w:rFonts w:hint="cs"/>
                <w:rtl/>
              </w:rPr>
              <w:t>הסיפ</w:t>
            </w:r>
            <w:r>
              <w:rPr>
                <w:rFonts w:hint="cs"/>
                <w:rtl/>
              </w:rPr>
              <w:t>ה</w:t>
            </w:r>
            <w:proofErr w:type="spellEnd"/>
            <w:r w:rsidRPr="003C16D3">
              <w:rPr>
                <w:rFonts w:hint="cs"/>
                <w:rtl/>
              </w:rPr>
              <w:t xml:space="preserve"> החל במילים "</w:t>
            </w:r>
            <w:r>
              <w:rPr>
                <w:rFonts w:hint="cs"/>
                <w:rtl/>
              </w:rPr>
              <w:t>(</w:t>
            </w:r>
            <w:r w:rsidRPr="003C16D3">
              <w:rPr>
                <w:rFonts w:hint="cs"/>
                <w:rtl/>
              </w:rPr>
              <w:t>ל</w:t>
            </w:r>
            <w:r>
              <w:rPr>
                <w:rFonts w:hint="cs"/>
                <w:rtl/>
              </w:rPr>
              <w:t xml:space="preserve">הלן </w:t>
            </w:r>
            <w:r>
              <w:rPr>
                <w:rtl/>
              </w:rPr>
              <w:t>–</w:t>
            </w:r>
            <w:r>
              <w:rPr>
                <w:rFonts w:hint="cs"/>
                <w:rtl/>
              </w:rPr>
              <w:t xml:space="preserve"> אזור)</w:t>
            </w:r>
            <w:r w:rsidRPr="003C16D3">
              <w:rPr>
                <w:rFonts w:hint="cs"/>
                <w:rtl/>
              </w:rPr>
              <w:t xml:space="preserve">" </w:t>
            </w:r>
            <w:r>
              <w:rPr>
                <w:rFonts w:hint="eastAsia"/>
                <w:rtl/>
              </w:rPr>
              <w:t>–</w:t>
            </w:r>
            <w:r>
              <w:rPr>
                <w:rFonts w:hint="cs"/>
                <w:rtl/>
              </w:rPr>
              <w:t xml:space="preserve"> </w:t>
            </w:r>
            <w:r w:rsidRPr="003C16D3">
              <w:rPr>
                <w:rFonts w:hint="cs"/>
                <w:rtl/>
              </w:rPr>
              <w:t>תימחק</w:t>
            </w:r>
            <w:r>
              <w:rPr>
                <w:rFonts w:hint="cs"/>
                <w:rtl/>
              </w:rPr>
              <w:t>;</w:t>
            </w:r>
          </w:p>
        </w:tc>
      </w:tr>
      <w:tr w:rsidR="00E0235C" w:rsidRPr="003C16D3" w14:paraId="42942A38" w14:textId="77777777" w:rsidTr="00C57C6F">
        <w:trPr>
          <w:cantSplit/>
        </w:trPr>
        <w:tc>
          <w:tcPr>
            <w:tcW w:w="1869" w:type="dxa"/>
          </w:tcPr>
          <w:p w14:paraId="7DC75CF9" w14:textId="77777777" w:rsidR="00E0235C" w:rsidRDefault="00E0235C" w:rsidP="00E0235C">
            <w:pPr>
              <w:pStyle w:val="TableSideHeading"/>
              <w:keepLines w:val="0"/>
              <w:ind w:left="57" w:right="0"/>
              <w:rPr>
                <w:rtl/>
              </w:rPr>
            </w:pPr>
          </w:p>
        </w:tc>
        <w:tc>
          <w:tcPr>
            <w:tcW w:w="624" w:type="dxa"/>
          </w:tcPr>
          <w:p w14:paraId="6446AAE6" w14:textId="77777777" w:rsidR="00E0235C" w:rsidRDefault="00E0235C" w:rsidP="00E0235C">
            <w:pPr>
              <w:pStyle w:val="TableText"/>
              <w:rPr>
                <w:rtl/>
              </w:rPr>
            </w:pPr>
          </w:p>
        </w:tc>
        <w:tc>
          <w:tcPr>
            <w:tcW w:w="7145" w:type="dxa"/>
            <w:gridSpan w:val="7"/>
          </w:tcPr>
          <w:p w14:paraId="06172FDF" w14:textId="77777777" w:rsidR="00E0235C" w:rsidRDefault="00E0235C" w:rsidP="00E0235C">
            <w:pPr>
              <w:pStyle w:val="TableBlock"/>
              <w:rPr>
                <w:rtl/>
              </w:rPr>
            </w:pPr>
            <w:r>
              <w:rPr>
                <w:rFonts w:hint="cs"/>
                <w:rtl/>
              </w:rPr>
              <w:t>(19)</w:t>
            </w:r>
            <w:r>
              <w:rPr>
                <w:rtl/>
              </w:rPr>
              <w:tab/>
            </w:r>
            <w:r>
              <w:rPr>
                <w:rFonts w:hint="cs"/>
                <w:rtl/>
              </w:rPr>
              <w:t xml:space="preserve">בפרט 18, </w:t>
            </w:r>
            <w:proofErr w:type="spellStart"/>
            <w:r>
              <w:rPr>
                <w:rFonts w:hint="cs"/>
                <w:rtl/>
              </w:rPr>
              <w:t>הסיפה</w:t>
            </w:r>
            <w:proofErr w:type="spellEnd"/>
            <w:r w:rsidRPr="003C16D3">
              <w:rPr>
                <w:rFonts w:hint="cs"/>
                <w:rtl/>
              </w:rPr>
              <w:t xml:space="preserve"> החל במילים "</w:t>
            </w:r>
            <w:r>
              <w:rPr>
                <w:rFonts w:hint="cs"/>
                <w:rtl/>
              </w:rPr>
              <w:t xml:space="preserve">(להלן </w:t>
            </w:r>
            <w:r>
              <w:rPr>
                <w:rtl/>
              </w:rPr>
              <w:t>–</w:t>
            </w:r>
            <w:r>
              <w:rPr>
                <w:rFonts w:hint="cs"/>
                <w:rtl/>
              </w:rPr>
              <w:t xml:space="preserve"> אזור)</w:t>
            </w:r>
            <w:r w:rsidRPr="003C16D3">
              <w:rPr>
                <w:rFonts w:hint="cs"/>
                <w:rtl/>
              </w:rPr>
              <w:t xml:space="preserve">" </w:t>
            </w:r>
            <w:r>
              <w:rPr>
                <w:rFonts w:hint="eastAsia"/>
                <w:rtl/>
              </w:rPr>
              <w:t>–</w:t>
            </w:r>
            <w:r>
              <w:rPr>
                <w:rFonts w:hint="cs"/>
                <w:rtl/>
              </w:rPr>
              <w:t xml:space="preserve"> </w:t>
            </w:r>
            <w:r w:rsidRPr="003C16D3">
              <w:rPr>
                <w:rFonts w:hint="cs"/>
                <w:rtl/>
              </w:rPr>
              <w:t>תימחק</w:t>
            </w:r>
            <w:r>
              <w:rPr>
                <w:rFonts w:hint="cs"/>
                <w:rtl/>
              </w:rPr>
              <w:t>;</w:t>
            </w:r>
          </w:p>
        </w:tc>
      </w:tr>
      <w:tr w:rsidR="00E0235C" w:rsidRPr="003C16D3" w14:paraId="3E6865F5" w14:textId="77777777" w:rsidTr="00C57C6F">
        <w:trPr>
          <w:cantSplit/>
        </w:trPr>
        <w:tc>
          <w:tcPr>
            <w:tcW w:w="1869" w:type="dxa"/>
          </w:tcPr>
          <w:p w14:paraId="492486A0" w14:textId="77777777" w:rsidR="00E0235C" w:rsidRDefault="00E0235C" w:rsidP="00E0235C">
            <w:pPr>
              <w:pStyle w:val="TableSideHeading"/>
              <w:keepLines w:val="0"/>
              <w:ind w:left="57" w:right="0"/>
              <w:rPr>
                <w:rtl/>
              </w:rPr>
            </w:pPr>
          </w:p>
        </w:tc>
        <w:tc>
          <w:tcPr>
            <w:tcW w:w="624" w:type="dxa"/>
          </w:tcPr>
          <w:p w14:paraId="194D91A0" w14:textId="77777777" w:rsidR="00E0235C" w:rsidRDefault="00E0235C" w:rsidP="00E0235C">
            <w:pPr>
              <w:pStyle w:val="TableText"/>
              <w:rPr>
                <w:rtl/>
              </w:rPr>
            </w:pPr>
          </w:p>
        </w:tc>
        <w:tc>
          <w:tcPr>
            <w:tcW w:w="7145" w:type="dxa"/>
            <w:gridSpan w:val="7"/>
          </w:tcPr>
          <w:p w14:paraId="4FD8775F" w14:textId="77777777" w:rsidR="00E0235C" w:rsidRDefault="00E0235C" w:rsidP="00E0235C">
            <w:pPr>
              <w:pStyle w:val="TableBlock"/>
              <w:rPr>
                <w:rtl/>
              </w:rPr>
            </w:pPr>
            <w:r>
              <w:rPr>
                <w:rFonts w:hint="cs"/>
                <w:rtl/>
              </w:rPr>
              <w:t>(20)</w:t>
            </w:r>
            <w:r>
              <w:rPr>
                <w:rtl/>
              </w:rPr>
              <w:tab/>
            </w:r>
            <w:r w:rsidRPr="003C16D3">
              <w:rPr>
                <w:rFonts w:hint="cs"/>
                <w:rtl/>
              </w:rPr>
              <w:t xml:space="preserve">בפרט 20, </w:t>
            </w:r>
            <w:proofErr w:type="spellStart"/>
            <w:r w:rsidRPr="003C16D3">
              <w:rPr>
                <w:rFonts w:hint="cs"/>
                <w:rtl/>
              </w:rPr>
              <w:t>הסיפ</w:t>
            </w:r>
            <w:r>
              <w:rPr>
                <w:rFonts w:hint="cs"/>
                <w:rtl/>
              </w:rPr>
              <w:t>ה</w:t>
            </w:r>
            <w:proofErr w:type="spellEnd"/>
            <w:r w:rsidRPr="003C16D3">
              <w:rPr>
                <w:rFonts w:hint="cs"/>
                <w:rtl/>
              </w:rPr>
              <w:t xml:space="preserve"> החל במילים "למעט אזור </w:t>
            </w:r>
            <w:r>
              <w:rPr>
                <w:rFonts w:hint="cs"/>
                <w:rtl/>
              </w:rPr>
              <w:t>נפרד</w:t>
            </w:r>
            <w:r w:rsidRPr="003C16D3">
              <w:rPr>
                <w:rFonts w:hint="cs"/>
                <w:rtl/>
              </w:rPr>
              <w:t xml:space="preserve">" </w:t>
            </w:r>
            <w:r>
              <w:rPr>
                <w:rFonts w:hint="eastAsia"/>
                <w:rtl/>
              </w:rPr>
              <w:t>–</w:t>
            </w:r>
            <w:r>
              <w:rPr>
                <w:rFonts w:hint="cs"/>
                <w:rtl/>
              </w:rPr>
              <w:t xml:space="preserve"> </w:t>
            </w:r>
            <w:r w:rsidRPr="003C16D3">
              <w:rPr>
                <w:rFonts w:hint="cs"/>
                <w:rtl/>
              </w:rPr>
              <w:t>תימחק</w:t>
            </w:r>
            <w:r>
              <w:rPr>
                <w:rFonts w:hint="cs"/>
                <w:rtl/>
              </w:rPr>
              <w:t>;</w:t>
            </w:r>
          </w:p>
        </w:tc>
      </w:tr>
      <w:tr w:rsidR="00E0235C" w:rsidRPr="003C16D3" w14:paraId="734149A5" w14:textId="77777777" w:rsidTr="00C57C6F">
        <w:trPr>
          <w:cantSplit/>
        </w:trPr>
        <w:tc>
          <w:tcPr>
            <w:tcW w:w="1869" w:type="dxa"/>
          </w:tcPr>
          <w:p w14:paraId="461C37CD" w14:textId="77777777" w:rsidR="00E0235C" w:rsidRDefault="00E0235C" w:rsidP="00E0235C">
            <w:pPr>
              <w:pStyle w:val="TableSideHeading"/>
              <w:keepLines w:val="0"/>
              <w:ind w:left="57" w:right="0"/>
              <w:rPr>
                <w:rtl/>
              </w:rPr>
            </w:pPr>
          </w:p>
        </w:tc>
        <w:tc>
          <w:tcPr>
            <w:tcW w:w="624" w:type="dxa"/>
          </w:tcPr>
          <w:p w14:paraId="43959E78" w14:textId="77777777" w:rsidR="00E0235C" w:rsidRDefault="00E0235C" w:rsidP="00E0235C">
            <w:pPr>
              <w:pStyle w:val="TableText"/>
              <w:rPr>
                <w:rtl/>
              </w:rPr>
            </w:pPr>
          </w:p>
        </w:tc>
        <w:tc>
          <w:tcPr>
            <w:tcW w:w="7145" w:type="dxa"/>
            <w:gridSpan w:val="7"/>
          </w:tcPr>
          <w:p w14:paraId="5DED4A1E" w14:textId="79ADC72E" w:rsidR="00E0235C" w:rsidRDefault="00E0235C" w:rsidP="00E0235C">
            <w:pPr>
              <w:pStyle w:val="TableBlock"/>
              <w:rPr>
                <w:rtl/>
              </w:rPr>
            </w:pPr>
            <w:r>
              <w:rPr>
                <w:rFonts w:hint="cs"/>
                <w:rtl/>
              </w:rPr>
              <w:t>(21)</w:t>
            </w:r>
            <w:r>
              <w:rPr>
                <w:rtl/>
              </w:rPr>
              <w:tab/>
            </w:r>
            <w:r w:rsidRPr="003C16D3">
              <w:rPr>
                <w:rFonts w:hint="cs"/>
                <w:rtl/>
              </w:rPr>
              <w:t>בפרט 21, המילים "כל מקום בבניין של" י</w:t>
            </w:r>
            <w:r>
              <w:rPr>
                <w:rFonts w:hint="cs"/>
                <w:rtl/>
              </w:rPr>
              <w:t>י</w:t>
            </w:r>
            <w:r w:rsidRPr="003C16D3">
              <w:rPr>
                <w:rFonts w:hint="cs"/>
                <w:rtl/>
              </w:rPr>
              <w:t>מחקו, ובסופו יבוא "לרבות בחצר."</w:t>
            </w:r>
            <w:r>
              <w:rPr>
                <w:rFonts w:hint="cs"/>
                <w:rtl/>
              </w:rPr>
              <w:t>;</w:t>
            </w:r>
          </w:p>
        </w:tc>
      </w:tr>
      <w:tr w:rsidR="00E0235C" w:rsidRPr="003C16D3" w14:paraId="7AA52251" w14:textId="77777777" w:rsidTr="00C57C6F">
        <w:trPr>
          <w:cantSplit/>
        </w:trPr>
        <w:tc>
          <w:tcPr>
            <w:tcW w:w="1869" w:type="dxa"/>
          </w:tcPr>
          <w:p w14:paraId="2AB33C99" w14:textId="77777777" w:rsidR="00E0235C" w:rsidRDefault="00E0235C" w:rsidP="00E0235C">
            <w:pPr>
              <w:pStyle w:val="TableSideHeading"/>
              <w:keepLines w:val="0"/>
              <w:ind w:left="57" w:right="0"/>
              <w:rPr>
                <w:rtl/>
              </w:rPr>
            </w:pPr>
          </w:p>
        </w:tc>
        <w:tc>
          <w:tcPr>
            <w:tcW w:w="624" w:type="dxa"/>
          </w:tcPr>
          <w:p w14:paraId="39288496" w14:textId="77777777" w:rsidR="00E0235C" w:rsidRDefault="00E0235C" w:rsidP="00E0235C">
            <w:pPr>
              <w:pStyle w:val="TableText"/>
              <w:rPr>
                <w:rtl/>
              </w:rPr>
            </w:pPr>
          </w:p>
        </w:tc>
        <w:tc>
          <w:tcPr>
            <w:tcW w:w="7145" w:type="dxa"/>
            <w:gridSpan w:val="7"/>
          </w:tcPr>
          <w:p w14:paraId="62734183" w14:textId="77777777" w:rsidR="00E0235C" w:rsidRDefault="00E0235C" w:rsidP="00E0235C">
            <w:pPr>
              <w:pStyle w:val="TableBlock"/>
              <w:rPr>
                <w:rtl/>
              </w:rPr>
            </w:pPr>
            <w:r>
              <w:rPr>
                <w:rFonts w:hint="cs"/>
                <w:rtl/>
              </w:rPr>
              <w:t>(22)</w:t>
            </w:r>
            <w:r>
              <w:rPr>
                <w:rtl/>
              </w:rPr>
              <w:tab/>
            </w:r>
            <w:r w:rsidRPr="003C16D3">
              <w:rPr>
                <w:rFonts w:hint="cs"/>
                <w:rtl/>
              </w:rPr>
              <w:t>במקום פרט 22 יבוא:</w:t>
            </w:r>
          </w:p>
        </w:tc>
      </w:tr>
      <w:tr w:rsidR="00E0235C" w14:paraId="1F812A02" w14:textId="77777777" w:rsidTr="00E0235C">
        <w:trPr>
          <w:cantSplit/>
          <w:trHeight w:val="60"/>
        </w:trPr>
        <w:tc>
          <w:tcPr>
            <w:tcW w:w="1869" w:type="dxa"/>
          </w:tcPr>
          <w:p w14:paraId="1ABF1B29" w14:textId="77777777" w:rsidR="00E0235C" w:rsidRDefault="00E0235C">
            <w:pPr>
              <w:pStyle w:val="TableSideHeading"/>
            </w:pPr>
          </w:p>
        </w:tc>
        <w:tc>
          <w:tcPr>
            <w:tcW w:w="624" w:type="dxa"/>
          </w:tcPr>
          <w:p w14:paraId="3081B9A7" w14:textId="77777777" w:rsidR="00E0235C" w:rsidRDefault="00E0235C">
            <w:pPr>
              <w:pStyle w:val="TableText"/>
            </w:pPr>
          </w:p>
        </w:tc>
        <w:tc>
          <w:tcPr>
            <w:tcW w:w="624" w:type="dxa"/>
          </w:tcPr>
          <w:p w14:paraId="7BBC19A0" w14:textId="77777777" w:rsidR="00E0235C" w:rsidRDefault="00E0235C">
            <w:pPr>
              <w:pStyle w:val="TableText"/>
            </w:pPr>
          </w:p>
        </w:tc>
        <w:tc>
          <w:tcPr>
            <w:tcW w:w="6521" w:type="dxa"/>
            <w:gridSpan w:val="6"/>
          </w:tcPr>
          <w:p w14:paraId="7A3006C8" w14:textId="45537AC3" w:rsidR="00E0235C" w:rsidRDefault="00E0235C">
            <w:pPr>
              <w:pStyle w:val="TableBlock"/>
            </w:pPr>
            <w:r>
              <w:rPr>
                <w:rFonts w:hint="cs"/>
                <w:rtl/>
              </w:rPr>
              <w:t>"22.</w:t>
            </w:r>
            <w:r>
              <w:rPr>
                <w:rtl/>
              </w:rPr>
              <w:tab/>
            </w:r>
            <w:r w:rsidRPr="004E59C7">
              <w:rPr>
                <w:rFonts w:hint="cs"/>
                <w:rtl/>
              </w:rPr>
              <w:t>בית אבות ודיור מוגן."</w:t>
            </w:r>
            <w:r>
              <w:rPr>
                <w:rFonts w:hint="cs"/>
                <w:rtl/>
              </w:rPr>
              <w:t>;</w:t>
            </w:r>
          </w:p>
        </w:tc>
      </w:tr>
      <w:tr w:rsidR="00E0235C" w:rsidRPr="003C16D3" w14:paraId="32C9EF3A" w14:textId="77777777" w:rsidTr="00C57C6F">
        <w:trPr>
          <w:cantSplit/>
        </w:trPr>
        <w:tc>
          <w:tcPr>
            <w:tcW w:w="1869" w:type="dxa"/>
          </w:tcPr>
          <w:p w14:paraId="0A3B7AE6" w14:textId="77777777" w:rsidR="00E0235C" w:rsidRDefault="00E0235C" w:rsidP="00E0235C">
            <w:pPr>
              <w:pStyle w:val="TableSideHeading"/>
              <w:keepLines w:val="0"/>
              <w:ind w:left="57" w:right="0"/>
              <w:rPr>
                <w:rtl/>
              </w:rPr>
            </w:pPr>
          </w:p>
        </w:tc>
        <w:tc>
          <w:tcPr>
            <w:tcW w:w="624" w:type="dxa"/>
          </w:tcPr>
          <w:p w14:paraId="26E68E1E" w14:textId="77777777" w:rsidR="00E0235C" w:rsidRDefault="00E0235C" w:rsidP="00E0235C">
            <w:pPr>
              <w:pStyle w:val="TableText"/>
              <w:rPr>
                <w:rtl/>
              </w:rPr>
            </w:pPr>
          </w:p>
        </w:tc>
        <w:tc>
          <w:tcPr>
            <w:tcW w:w="7145" w:type="dxa"/>
            <w:gridSpan w:val="7"/>
          </w:tcPr>
          <w:p w14:paraId="75E6D017" w14:textId="77777777" w:rsidR="00E0235C" w:rsidRDefault="00E0235C" w:rsidP="00E0235C">
            <w:pPr>
              <w:pStyle w:val="TableBlock"/>
              <w:rPr>
                <w:rtl/>
              </w:rPr>
            </w:pPr>
            <w:r>
              <w:rPr>
                <w:rFonts w:hint="cs"/>
                <w:rtl/>
              </w:rPr>
              <w:t>(23)</w:t>
            </w:r>
            <w:r>
              <w:rPr>
                <w:rtl/>
              </w:rPr>
              <w:tab/>
            </w:r>
            <w:r w:rsidRPr="004E59C7">
              <w:rPr>
                <w:rtl/>
              </w:rPr>
              <w:t>אחרי פרט 22 יבוא:</w:t>
            </w:r>
          </w:p>
        </w:tc>
      </w:tr>
      <w:tr w:rsidR="00E0235C" w14:paraId="2D13317E" w14:textId="77777777" w:rsidTr="00E0235C">
        <w:trPr>
          <w:cantSplit/>
          <w:trHeight w:val="60"/>
        </w:trPr>
        <w:tc>
          <w:tcPr>
            <w:tcW w:w="1869" w:type="dxa"/>
          </w:tcPr>
          <w:p w14:paraId="2E9964D5" w14:textId="77777777" w:rsidR="00E0235C" w:rsidRDefault="00E0235C">
            <w:pPr>
              <w:pStyle w:val="TableSideHeading"/>
            </w:pPr>
          </w:p>
        </w:tc>
        <w:tc>
          <w:tcPr>
            <w:tcW w:w="624" w:type="dxa"/>
          </w:tcPr>
          <w:p w14:paraId="4DBDF8A0" w14:textId="77777777" w:rsidR="00E0235C" w:rsidRDefault="00E0235C">
            <w:pPr>
              <w:pStyle w:val="TableText"/>
            </w:pPr>
          </w:p>
        </w:tc>
        <w:tc>
          <w:tcPr>
            <w:tcW w:w="624" w:type="dxa"/>
          </w:tcPr>
          <w:p w14:paraId="0BF7E347" w14:textId="77777777" w:rsidR="00E0235C" w:rsidRDefault="00E0235C">
            <w:pPr>
              <w:pStyle w:val="TableText"/>
            </w:pPr>
          </w:p>
        </w:tc>
        <w:tc>
          <w:tcPr>
            <w:tcW w:w="6521" w:type="dxa"/>
            <w:gridSpan w:val="6"/>
          </w:tcPr>
          <w:p w14:paraId="3FD6C368" w14:textId="6031D1A3" w:rsidR="00E0235C" w:rsidRDefault="00E0235C" w:rsidP="00E0235C">
            <w:pPr>
              <w:pStyle w:val="TableBlock"/>
            </w:pPr>
            <w:r>
              <w:rPr>
                <w:rFonts w:hint="cs"/>
                <w:rtl/>
              </w:rPr>
              <w:t>"23.</w:t>
            </w:r>
            <w:r>
              <w:rPr>
                <w:rtl/>
              </w:rPr>
              <w:tab/>
            </w:r>
            <w:r w:rsidRPr="003C16D3">
              <w:rPr>
                <w:rFonts w:hint="cs"/>
                <w:rtl/>
              </w:rPr>
              <w:t>כל מקום בבית משותף שהוא רכוש משותף; בפרט זה</w:t>
            </w:r>
            <w:r>
              <w:rPr>
                <w:rFonts w:hint="cs"/>
                <w:rtl/>
              </w:rPr>
              <w:t>,</w:t>
            </w:r>
            <w:r w:rsidRPr="003C16D3">
              <w:rPr>
                <w:rFonts w:hint="cs"/>
                <w:rtl/>
              </w:rPr>
              <w:t xml:space="preserve"> "בית משותף" ו-"רכוש משותף" </w:t>
            </w:r>
            <w:r>
              <w:rPr>
                <w:rFonts w:hint="eastAsia"/>
                <w:rtl/>
              </w:rPr>
              <w:t>–</w:t>
            </w:r>
            <w:r>
              <w:rPr>
                <w:rFonts w:hint="cs"/>
                <w:rtl/>
              </w:rPr>
              <w:t xml:space="preserve"> </w:t>
            </w:r>
            <w:r w:rsidRPr="003C16D3">
              <w:rPr>
                <w:rFonts w:hint="cs"/>
                <w:rtl/>
              </w:rPr>
              <w:t>כהגדרתם ב</w:t>
            </w:r>
            <w:r>
              <w:rPr>
                <w:rFonts w:hint="cs"/>
                <w:rtl/>
              </w:rPr>
              <w:t>סעיף 52 ל</w:t>
            </w:r>
            <w:r w:rsidRPr="003C16D3">
              <w:rPr>
                <w:rFonts w:hint="cs"/>
                <w:rtl/>
              </w:rPr>
              <w:t xml:space="preserve">חוק המקרקעין, </w:t>
            </w:r>
            <w:proofErr w:type="spellStart"/>
            <w:r w:rsidRPr="003C16D3">
              <w:rPr>
                <w:rFonts w:hint="cs"/>
                <w:rtl/>
              </w:rPr>
              <w:t>התשכ"ט</w:t>
            </w:r>
            <w:proofErr w:type="spellEnd"/>
            <w:r>
              <w:rPr>
                <w:rFonts w:hint="eastAsia"/>
                <w:rtl/>
              </w:rPr>
              <w:t>–</w:t>
            </w:r>
            <w:r w:rsidRPr="003C16D3">
              <w:rPr>
                <w:rFonts w:hint="cs"/>
                <w:rtl/>
              </w:rPr>
              <w:t>1969</w:t>
            </w:r>
            <w:r w:rsidRPr="003C16D3">
              <w:rPr>
                <w:rStyle w:val="a7"/>
                <w:rtl/>
              </w:rPr>
              <w:footnoteReference w:id="8"/>
            </w:r>
            <w:r>
              <w:rPr>
                <w:rFonts w:hint="cs"/>
                <w:rtl/>
              </w:rPr>
              <w:t>;</w:t>
            </w:r>
          </w:p>
        </w:tc>
      </w:tr>
      <w:tr w:rsidR="00E0235C" w:rsidRPr="003C16D3" w14:paraId="4A06F4CF" w14:textId="77777777" w:rsidTr="00C57C6F">
        <w:trPr>
          <w:cantSplit/>
        </w:trPr>
        <w:tc>
          <w:tcPr>
            <w:tcW w:w="1869" w:type="dxa"/>
          </w:tcPr>
          <w:p w14:paraId="5807A0C5" w14:textId="77777777" w:rsidR="00E0235C" w:rsidRDefault="00E0235C" w:rsidP="00E0235C">
            <w:pPr>
              <w:pStyle w:val="TableSideHeading"/>
              <w:keepLines w:val="0"/>
              <w:ind w:left="57" w:right="0"/>
              <w:rPr>
                <w:rtl/>
              </w:rPr>
            </w:pPr>
          </w:p>
        </w:tc>
        <w:tc>
          <w:tcPr>
            <w:tcW w:w="624" w:type="dxa"/>
          </w:tcPr>
          <w:p w14:paraId="37AF7D29" w14:textId="77777777" w:rsidR="00E0235C" w:rsidRDefault="00E0235C" w:rsidP="00E0235C">
            <w:pPr>
              <w:pStyle w:val="TableText"/>
              <w:rPr>
                <w:rtl/>
              </w:rPr>
            </w:pPr>
          </w:p>
        </w:tc>
        <w:tc>
          <w:tcPr>
            <w:tcW w:w="7145" w:type="dxa"/>
            <w:gridSpan w:val="7"/>
          </w:tcPr>
          <w:p w14:paraId="62614E55" w14:textId="77777777" w:rsidR="00E0235C" w:rsidRDefault="00E0235C" w:rsidP="00E0235C">
            <w:pPr>
              <w:pStyle w:val="TableBlock"/>
              <w:rPr>
                <w:rtl/>
              </w:rPr>
            </w:pPr>
            <w:r>
              <w:rPr>
                <w:rFonts w:hint="cs"/>
                <w:rtl/>
              </w:rPr>
              <w:t>24.</w:t>
            </w:r>
            <w:r>
              <w:rPr>
                <w:rtl/>
              </w:rPr>
              <w:tab/>
            </w:r>
            <w:r w:rsidRPr="003C16D3">
              <w:rPr>
                <w:rFonts w:hint="cs"/>
                <w:rtl/>
              </w:rPr>
              <w:t>כל מק</w:t>
            </w:r>
            <w:r>
              <w:rPr>
                <w:rFonts w:hint="cs"/>
                <w:rtl/>
              </w:rPr>
              <w:t>ום בחניון מקורה וחניון תת-קרקעי;</w:t>
            </w:r>
          </w:p>
        </w:tc>
      </w:tr>
      <w:tr w:rsidR="00E0235C" w:rsidRPr="003C16D3" w14:paraId="581474C4" w14:textId="77777777" w:rsidTr="00C57C6F">
        <w:trPr>
          <w:cantSplit/>
        </w:trPr>
        <w:tc>
          <w:tcPr>
            <w:tcW w:w="1869" w:type="dxa"/>
          </w:tcPr>
          <w:p w14:paraId="07EA928D" w14:textId="77777777" w:rsidR="00E0235C" w:rsidRDefault="00E0235C" w:rsidP="00E0235C">
            <w:pPr>
              <w:pStyle w:val="TableSideHeading"/>
              <w:keepLines w:val="0"/>
              <w:ind w:left="57" w:right="0"/>
              <w:rPr>
                <w:rtl/>
              </w:rPr>
            </w:pPr>
          </w:p>
        </w:tc>
        <w:tc>
          <w:tcPr>
            <w:tcW w:w="624" w:type="dxa"/>
          </w:tcPr>
          <w:p w14:paraId="4D04ED89" w14:textId="77777777" w:rsidR="00E0235C" w:rsidRDefault="00E0235C" w:rsidP="00E0235C">
            <w:pPr>
              <w:pStyle w:val="TableText"/>
              <w:rPr>
                <w:rtl/>
              </w:rPr>
            </w:pPr>
          </w:p>
        </w:tc>
        <w:tc>
          <w:tcPr>
            <w:tcW w:w="7145" w:type="dxa"/>
            <w:gridSpan w:val="7"/>
          </w:tcPr>
          <w:p w14:paraId="51197118" w14:textId="77777777" w:rsidR="00E0235C" w:rsidRDefault="00E0235C" w:rsidP="00E0235C">
            <w:pPr>
              <w:pStyle w:val="TableBlock"/>
              <w:rPr>
                <w:rtl/>
              </w:rPr>
            </w:pPr>
            <w:r>
              <w:rPr>
                <w:rFonts w:hint="cs"/>
                <w:rtl/>
              </w:rPr>
              <w:t>25.</w:t>
            </w:r>
            <w:r>
              <w:rPr>
                <w:rtl/>
              </w:rPr>
              <w:tab/>
            </w:r>
            <w:r w:rsidRPr="003C16D3">
              <w:rPr>
                <w:rFonts w:hint="cs"/>
                <w:rtl/>
              </w:rPr>
              <w:t>בית מלון</w:t>
            </w:r>
            <w:r>
              <w:rPr>
                <w:rFonts w:hint="cs"/>
                <w:rtl/>
              </w:rPr>
              <w:t xml:space="preserve"> ואכסניה, לרבות בחדרי האורחים;</w:t>
            </w:r>
          </w:p>
        </w:tc>
      </w:tr>
      <w:tr w:rsidR="00E0235C" w:rsidRPr="003C16D3" w14:paraId="2F49D64F" w14:textId="77777777" w:rsidTr="00C57C6F">
        <w:trPr>
          <w:cantSplit/>
        </w:trPr>
        <w:tc>
          <w:tcPr>
            <w:tcW w:w="1869" w:type="dxa"/>
          </w:tcPr>
          <w:p w14:paraId="23D0753F" w14:textId="77777777" w:rsidR="00E0235C" w:rsidRDefault="00E0235C" w:rsidP="00E0235C">
            <w:pPr>
              <w:pStyle w:val="TableSideHeading"/>
              <w:keepLines w:val="0"/>
              <w:ind w:left="57" w:right="0"/>
              <w:rPr>
                <w:rtl/>
              </w:rPr>
            </w:pPr>
          </w:p>
        </w:tc>
        <w:tc>
          <w:tcPr>
            <w:tcW w:w="624" w:type="dxa"/>
          </w:tcPr>
          <w:p w14:paraId="0F2EB6E6" w14:textId="77777777" w:rsidR="00E0235C" w:rsidRDefault="00E0235C" w:rsidP="00E0235C">
            <w:pPr>
              <w:pStyle w:val="TableText"/>
              <w:rPr>
                <w:rtl/>
              </w:rPr>
            </w:pPr>
          </w:p>
        </w:tc>
        <w:tc>
          <w:tcPr>
            <w:tcW w:w="7145" w:type="dxa"/>
            <w:gridSpan w:val="7"/>
          </w:tcPr>
          <w:p w14:paraId="0E2B5433" w14:textId="77777777" w:rsidR="00E0235C" w:rsidRDefault="00E0235C" w:rsidP="00E0235C">
            <w:pPr>
              <w:pStyle w:val="TableBlock"/>
              <w:rPr>
                <w:rtl/>
              </w:rPr>
            </w:pPr>
            <w:r>
              <w:rPr>
                <w:rFonts w:hint="cs"/>
                <w:rtl/>
              </w:rPr>
              <w:t>26.</w:t>
            </w:r>
            <w:r>
              <w:rPr>
                <w:rtl/>
              </w:rPr>
              <w:tab/>
            </w:r>
            <w:r w:rsidRPr="003C16D3">
              <w:rPr>
                <w:rFonts w:hint="cs"/>
                <w:rtl/>
              </w:rPr>
              <w:t>כל מקום</w:t>
            </w:r>
            <w:r>
              <w:rPr>
                <w:rFonts w:hint="cs"/>
                <w:rtl/>
              </w:rPr>
              <w:t xml:space="preserve"> בבניין שמשמש למגורים בבסיס צבא הגנה לישראל;</w:t>
            </w:r>
          </w:p>
        </w:tc>
      </w:tr>
      <w:tr w:rsidR="00E0235C" w:rsidRPr="003C16D3" w14:paraId="14056279" w14:textId="77777777" w:rsidTr="00C57C6F">
        <w:trPr>
          <w:cantSplit/>
        </w:trPr>
        <w:tc>
          <w:tcPr>
            <w:tcW w:w="1869" w:type="dxa"/>
          </w:tcPr>
          <w:p w14:paraId="3EAF6DDD" w14:textId="77777777" w:rsidR="00E0235C" w:rsidRDefault="00E0235C" w:rsidP="00E0235C">
            <w:pPr>
              <w:pStyle w:val="TableSideHeading"/>
              <w:keepLines w:val="0"/>
              <w:ind w:left="57" w:right="0"/>
              <w:rPr>
                <w:rtl/>
              </w:rPr>
            </w:pPr>
          </w:p>
        </w:tc>
        <w:tc>
          <w:tcPr>
            <w:tcW w:w="624" w:type="dxa"/>
          </w:tcPr>
          <w:p w14:paraId="6B1696F7" w14:textId="77777777" w:rsidR="00E0235C" w:rsidRDefault="00E0235C" w:rsidP="00E0235C">
            <w:pPr>
              <w:pStyle w:val="TableText"/>
              <w:rPr>
                <w:rtl/>
              </w:rPr>
            </w:pPr>
          </w:p>
        </w:tc>
        <w:tc>
          <w:tcPr>
            <w:tcW w:w="7145" w:type="dxa"/>
            <w:gridSpan w:val="7"/>
          </w:tcPr>
          <w:p w14:paraId="5CAA8035" w14:textId="77777777" w:rsidR="00E0235C" w:rsidRDefault="00E0235C" w:rsidP="00E0235C">
            <w:pPr>
              <w:pStyle w:val="TableBlock"/>
              <w:rPr>
                <w:rtl/>
              </w:rPr>
            </w:pPr>
            <w:r>
              <w:rPr>
                <w:rFonts w:hint="cs"/>
                <w:rtl/>
              </w:rPr>
              <w:t>27.</w:t>
            </w:r>
            <w:r>
              <w:rPr>
                <w:rtl/>
              </w:rPr>
              <w:tab/>
            </w:r>
            <w:r>
              <w:rPr>
                <w:rFonts w:hint="cs"/>
                <w:rtl/>
              </w:rPr>
              <w:t>תחנת דלק;</w:t>
            </w:r>
          </w:p>
        </w:tc>
      </w:tr>
      <w:tr w:rsidR="00E0235C" w:rsidRPr="003C16D3" w14:paraId="5CE3C06B" w14:textId="77777777" w:rsidTr="00C57C6F">
        <w:trPr>
          <w:cantSplit/>
        </w:trPr>
        <w:tc>
          <w:tcPr>
            <w:tcW w:w="1869" w:type="dxa"/>
          </w:tcPr>
          <w:p w14:paraId="2D9F810B" w14:textId="77777777" w:rsidR="00E0235C" w:rsidRDefault="00E0235C" w:rsidP="00E0235C">
            <w:pPr>
              <w:pStyle w:val="TableSideHeading"/>
              <w:keepLines w:val="0"/>
              <w:ind w:left="57" w:right="0"/>
              <w:rPr>
                <w:rtl/>
              </w:rPr>
            </w:pPr>
          </w:p>
        </w:tc>
        <w:tc>
          <w:tcPr>
            <w:tcW w:w="624" w:type="dxa"/>
          </w:tcPr>
          <w:p w14:paraId="5B26489A" w14:textId="77777777" w:rsidR="00E0235C" w:rsidRDefault="00E0235C" w:rsidP="00E0235C">
            <w:pPr>
              <w:pStyle w:val="TableText"/>
              <w:rPr>
                <w:rtl/>
              </w:rPr>
            </w:pPr>
          </w:p>
        </w:tc>
        <w:tc>
          <w:tcPr>
            <w:tcW w:w="7145" w:type="dxa"/>
            <w:gridSpan w:val="7"/>
          </w:tcPr>
          <w:p w14:paraId="66BC3254" w14:textId="77777777" w:rsidR="00E0235C" w:rsidRDefault="00E0235C" w:rsidP="00E0235C">
            <w:pPr>
              <w:pStyle w:val="TableBlock"/>
              <w:rPr>
                <w:rtl/>
              </w:rPr>
            </w:pPr>
            <w:r>
              <w:rPr>
                <w:rFonts w:hint="cs"/>
                <w:rtl/>
              </w:rPr>
              <w:t>28.</w:t>
            </w:r>
            <w:r>
              <w:rPr>
                <w:rtl/>
              </w:rPr>
              <w:tab/>
            </w:r>
            <w:r w:rsidRPr="003C16D3">
              <w:rPr>
                <w:rFonts w:hint="cs"/>
                <w:rtl/>
              </w:rPr>
              <w:t>גן חיות."</w:t>
            </w:r>
          </w:p>
        </w:tc>
      </w:tr>
      <w:tr w:rsidR="00E0235C" w:rsidRPr="003C16D3" w14:paraId="314B4F71" w14:textId="77777777" w:rsidTr="00C57C6F">
        <w:trPr>
          <w:cantSplit/>
        </w:trPr>
        <w:tc>
          <w:tcPr>
            <w:tcW w:w="1869" w:type="dxa"/>
          </w:tcPr>
          <w:p w14:paraId="2859A509" w14:textId="77777777" w:rsidR="00E0235C" w:rsidRPr="003C16D3" w:rsidRDefault="00E0235C" w:rsidP="00E0235C">
            <w:pPr>
              <w:pStyle w:val="TableSideHeading"/>
              <w:keepLines w:val="0"/>
              <w:ind w:left="57" w:right="0"/>
            </w:pPr>
            <w:r w:rsidRPr="003C16D3">
              <w:rPr>
                <w:rFonts w:hint="cs"/>
                <w:rtl/>
              </w:rPr>
              <w:t>תיקון חוק תובענות ייצוגיות</w:t>
            </w:r>
          </w:p>
        </w:tc>
        <w:tc>
          <w:tcPr>
            <w:tcW w:w="624" w:type="dxa"/>
          </w:tcPr>
          <w:p w14:paraId="121D0DC8" w14:textId="77777777" w:rsidR="00E0235C" w:rsidRPr="009F682B" w:rsidRDefault="00E0235C" w:rsidP="00E0235C">
            <w:pPr>
              <w:pStyle w:val="TableBlock"/>
            </w:pPr>
            <w:r>
              <w:rPr>
                <w:rFonts w:hint="cs"/>
                <w:rtl/>
              </w:rPr>
              <w:t>19.</w:t>
            </w:r>
          </w:p>
        </w:tc>
        <w:tc>
          <w:tcPr>
            <w:tcW w:w="7145" w:type="dxa"/>
            <w:gridSpan w:val="7"/>
          </w:tcPr>
          <w:p w14:paraId="7FA67E61" w14:textId="27BC5347" w:rsidR="00E0235C" w:rsidRPr="003C16D3" w:rsidRDefault="00E0235C" w:rsidP="00E0235C">
            <w:pPr>
              <w:pStyle w:val="TableBlock"/>
            </w:pPr>
            <w:r w:rsidRPr="003C16D3">
              <w:rPr>
                <w:rFonts w:hint="cs"/>
                <w:rtl/>
              </w:rPr>
              <w:t>ב</w:t>
            </w:r>
            <w:r w:rsidRPr="003C16D3">
              <w:rPr>
                <w:rtl/>
              </w:rPr>
              <w:t xml:space="preserve">חוק תובענות ייצוגיות, </w:t>
            </w:r>
            <w:proofErr w:type="spellStart"/>
            <w:r>
              <w:rPr>
                <w:rFonts w:hint="cs"/>
                <w:rtl/>
              </w:rPr>
              <w:t>ה</w:t>
            </w:r>
            <w:r w:rsidRPr="003C16D3">
              <w:rPr>
                <w:rtl/>
              </w:rPr>
              <w:t>תשס"ו</w:t>
            </w:r>
            <w:proofErr w:type="spellEnd"/>
            <w:r>
              <w:rPr>
                <w:rFonts w:hint="eastAsia"/>
                <w:rtl/>
              </w:rPr>
              <w:t>–</w:t>
            </w:r>
            <w:r w:rsidRPr="003C16D3">
              <w:rPr>
                <w:rtl/>
              </w:rPr>
              <w:t>2006</w:t>
            </w:r>
            <w:r>
              <w:rPr>
                <w:rStyle w:val="a7"/>
                <w:rtl/>
              </w:rPr>
              <w:footnoteReference w:id="9"/>
            </w:r>
            <w:r w:rsidRPr="003C16D3">
              <w:rPr>
                <w:rFonts w:hint="cs"/>
                <w:rtl/>
              </w:rPr>
              <w:t xml:space="preserve">, בתוספת השנייה, </w:t>
            </w:r>
            <w:r>
              <w:rPr>
                <w:rFonts w:hint="cs"/>
                <w:rtl/>
              </w:rPr>
              <w:t>אחרי פרט</w:t>
            </w:r>
            <w:r w:rsidRPr="003C16D3">
              <w:rPr>
                <w:rFonts w:hint="cs"/>
                <w:rtl/>
              </w:rPr>
              <w:t xml:space="preserve"> 13 יבוא:</w:t>
            </w:r>
          </w:p>
        </w:tc>
      </w:tr>
      <w:tr w:rsidR="00E0235C" w:rsidRPr="00FD7123" w14:paraId="6DB2F127" w14:textId="77777777" w:rsidTr="00C57C6F">
        <w:trPr>
          <w:cantSplit/>
        </w:trPr>
        <w:tc>
          <w:tcPr>
            <w:tcW w:w="1869" w:type="dxa"/>
          </w:tcPr>
          <w:p w14:paraId="313373CC" w14:textId="77777777" w:rsidR="00E0235C" w:rsidRPr="003C16D3" w:rsidRDefault="00E0235C" w:rsidP="00E0235C">
            <w:pPr>
              <w:pStyle w:val="TableSideHeading"/>
              <w:keepLines w:val="0"/>
              <w:ind w:left="57" w:right="0"/>
              <w:rPr>
                <w:rtl/>
              </w:rPr>
            </w:pPr>
          </w:p>
        </w:tc>
        <w:tc>
          <w:tcPr>
            <w:tcW w:w="624" w:type="dxa"/>
          </w:tcPr>
          <w:p w14:paraId="1DEE3978" w14:textId="77777777" w:rsidR="00E0235C" w:rsidRPr="009F682B" w:rsidRDefault="00E0235C" w:rsidP="00E0235C">
            <w:pPr>
              <w:pStyle w:val="TableBlock"/>
            </w:pPr>
          </w:p>
        </w:tc>
        <w:tc>
          <w:tcPr>
            <w:tcW w:w="7145" w:type="dxa"/>
            <w:gridSpan w:val="7"/>
          </w:tcPr>
          <w:p w14:paraId="571F7AB2" w14:textId="2E311B34" w:rsidR="00E0235C" w:rsidRPr="003C16D3" w:rsidRDefault="00E0235C" w:rsidP="00E0235C">
            <w:pPr>
              <w:pStyle w:val="TableBlock"/>
              <w:rPr>
                <w:rtl/>
              </w:rPr>
            </w:pPr>
            <w:r>
              <w:rPr>
                <w:rFonts w:hint="cs"/>
                <w:rtl/>
              </w:rPr>
              <w:t>"14.</w:t>
            </w:r>
            <w:r>
              <w:rPr>
                <w:rtl/>
              </w:rPr>
              <w:tab/>
            </w:r>
            <w:r w:rsidRPr="003C16D3">
              <w:rPr>
                <w:rtl/>
              </w:rPr>
              <w:t xml:space="preserve">תביעה בעילה לפי חוק למניעת העישון במקומות ציבוריים והחשיפה לעישון, </w:t>
            </w:r>
            <w:proofErr w:type="spellStart"/>
            <w:r w:rsidRPr="003C16D3">
              <w:rPr>
                <w:rtl/>
              </w:rPr>
              <w:t>התשמ"ג</w:t>
            </w:r>
            <w:proofErr w:type="spellEnd"/>
            <w:r>
              <w:rPr>
                <w:rFonts w:hint="cs"/>
                <w:rtl/>
              </w:rPr>
              <w:t>–</w:t>
            </w:r>
            <w:r w:rsidRPr="003C16D3">
              <w:rPr>
                <w:rtl/>
              </w:rPr>
              <w:t>1983</w:t>
            </w:r>
            <w:r>
              <w:rPr>
                <w:rFonts w:hint="cs"/>
                <w:rtl/>
              </w:rPr>
              <w:t>, והיא תהיה פטורה מאגרה.</w:t>
            </w:r>
            <w:r w:rsidRPr="003C16D3">
              <w:rPr>
                <w:rFonts w:hint="cs"/>
                <w:rtl/>
              </w:rPr>
              <w:t>"</w:t>
            </w:r>
          </w:p>
        </w:tc>
      </w:tr>
      <w:tr w:rsidR="00E0235C" w:rsidRPr="00FD7123" w14:paraId="000E294F" w14:textId="77777777" w:rsidTr="00C57C6F">
        <w:trPr>
          <w:cantSplit/>
        </w:trPr>
        <w:tc>
          <w:tcPr>
            <w:tcW w:w="1869" w:type="dxa"/>
          </w:tcPr>
          <w:p w14:paraId="04DA53FE" w14:textId="77777777" w:rsidR="00E0235C" w:rsidRPr="00FD7123" w:rsidRDefault="00E0235C" w:rsidP="00E0235C">
            <w:pPr>
              <w:pStyle w:val="TableSideHeading"/>
              <w:keepLines w:val="0"/>
              <w:ind w:left="57" w:right="0"/>
              <w:rPr>
                <w:rtl/>
              </w:rPr>
            </w:pPr>
            <w:r w:rsidRPr="00FD7123">
              <w:rPr>
                <w:rFonts w:hint="cs"/>
                <w:rtl/>
              </w:rPr>
              <w:t>תחילה</w:t>
            </w:r>
          </w:p>
        </w:tc>
        <w:tc>
          <w:tcPr>
            <w:tcW w:w="624" w:type="dxa"/>
          </w:tcPr>
          <w:p w14:paraId="46D4DD43" w14:textId="77777777" w:rsidR="00E0235C" w:rsidRPr="009F682B" w:rsidRDefault="00E0235C" w:rsidP="00E0235C">
            <w:pPr>
              <w:pStyle w:val="TableBlock"/>
            </w:pPr>
            <w:r>
              <w:rPr>
                <w:rFonts w:hint="cs"/>
                <w:rtl/>
              </w:rPr>
              <w:t>20.</w:t>
            </w:r>
          </w:p>
        </w:tc>
        <w:tc>
          <w:tcPr>
            <w:tcW w:w="7145" w:type="dxa"/>
            <w:gridSpan w:val="7"/>
          </w:tcPr>
          <w:p w14:paraId="6F3930B3" w14:textId="77777777" w:rsidR="00E0235C" w:rsidRPr="00FD7123" w:rsidRDefault="00E0235C" w:rsidP="00E0235C">
            <w:pPr>
              <w:pStyle w:val="TableBlock"/>
              <w:rPr>
                <w:rtl/>
              </w:rPr>
            </w:pPr>
            <w:r w:rsidRPr="00FD7123">
              <w:rPr>
                <w:rFonts w:hint="cs"/>
                <w:rtl/>
              </w:rPr>
              <w:t>תחילתו של חוק זה שישים ימים מיום פרסומו.</w:t>
            </w:r>
          </w:p>
        </w:tc>
      </w:tr>
    </w:tbl>
    <w:p w14:paraId="49D0C0C9" w14:textId="77777777" w:rsidR="00861131" w:rsidRPr="001B1F78" w:rsidRDefault="00861131" w:rsidP="00E0235C">
      <w:pPr>
        <w:spacing w:line="320" w:lineRule="exact"/>
        <w:ind w:firstLine="0"/>
        <w:jc w:val="left"/>
        <w:rPr>
          <w:rFonts w:cs="David"/>
          <w:sz w:val="30"/>
          <w:szCs w:val="24"/>
          <w:rtl/>
        </w:rPr>
      </w:pPr>
    </w:p>
    <w:p w14:paraId="6880AE84" w14:textId="77777777" w:rsidR="00861131" w:rsidRPr="00E0235C" w:rsidRDefault="00861131" w:rsidP="00E0235C">
      <w:pPr>
        <w:pStyle w:val="HeadDivreiHesber"/>
        <w:rPr>
          <w:rtl/>
        </w:rPr>
      </w:pPr>
      <w:r w:rsidRPr="00E0235C">
        <w:rPr>
          <w:rFonts w:hint="cs"/>
          <w:rtl/>
        </w:rPr>
        <w:t>דברי הסבר</w:t>
      </w:r>
    </w:p>
    <w:p w14:paraId="0B25A881" w14:textId="6BC5A020" w:rsidR="00140569" w:rsidRDefault="00140569" w:rsidP="00D53ECC">
      <w:pPr>
        <w:pStyle w:val="Hesber"/>
        <w:spacing w:line="240" w:lineRule="auto"/>
      </w:pPr>
      <w:bookmarkStart w:id="5" w:name="ABSTRACT_START"/>
      <w:bookmarkEnd w:id="5"/>
      <w:r>
        <w:rPr>
          <w:rFonts w:hint="cs"/>
          <w:rtl/>
        </w:rPr>
        <w:t>לפי דוח שר הבריאות על העישון לשנת 2016 (דוח שר הבריאות על העישון בישראל, מאי 2017), בכל שנה יש בישראל כ-800 מקרי מוות של לא מעשנים שנחשפו לעישון של אחרים. מספר זה כפול ממספר ההרוגים השנתי בתאונות דרכים.</w:t>
      </w:r>
    </w:p>
    <w:p w14:paraId="3EBE1F66" w14:textId="77777777" w:rsidR="00140569" w:rsidRDefault="00140569" w:rsidP="00D53ECC">
      <w:pPr>
        <w:pStyle w:val="Hesber"/>
        <w:spacing w:line="240" w:lineRule="auto"/>
        <w:rPr>
          <w:rtl/>
        </w:rPr>
      </w:pPr>
      <w:r>
        <w:rPr>
          <w:rFonts w:hint="cs"/>
          <w:rtl/>
        </w:rPr>
        <w:t>במחקר ניטור ביולוגי שביצע משרד הבריאות נתגלו סימנים של חשיפה לעישון בקרב 63% מציבור הלא-מעשנים. תוצאה זו מצביעה על חשיפה נרחבת לעישון כפוי בישראל, ומחייבת הגברת ההתערבות למניעת חשיפה זו.</w:t>
      </w:r>
    </w:p>
    <w:p w14:paraId="1EC77149" w14:textId="1137C90A" w:rsidR="00140569" w:rsidRDefault="00140569" w:rsidP="00D53ECC">
      <w:pPr>
        <w:pStyle w:val="Hesber"/>
        <w:spacing w:line="240" w:lineRule="auto"/>
        <w:rPr>
          <w:rtl/>
        </w:rPr>
      </w:pPr>
      <w:r>
        <w:rPr>
          <w:rFonts w:hint="cs"/>
          <w:rtl/>
        </w:rPr>
        <w:t xml:space="preserve">על אף תיקון מס' 2 לחוק למניעת העישון במקומות ציבוריים והחשיפה לעישון, </w:t>
      </w:r>
      <w:proofErr w:type="spellStart"/>
      <w:r>
        <w:rPr>
          <w:rFonts w:hint="cs"/>
          <w:rtl/>
        </w:rPr>
        <w:t>התשמ"ג</w:t>
      </w:r>
      <w:proofErr w:type="spellEnd"/>
      <w:r>
        <w:rPr>
          <w:rFonts w:hint="cs"/>
          <w:rtl/>
        </w:rPr>
        <w:t>–1983 (להלן – החוק)</w:t>
      </w:r>
      <w:r w:rsidR="00E0235C">
        <w:rPr>
          <w:rFonts w:hint="cs"/>
          <w:rtl/>
        </w:rPr>
        <w:t>,</w:t>
      </w:r>
      <w:r>
        <w:rPr>
          <w:rFonts w:hint="cs"/>
          <w:rtl/>
        </w:rPr>
        <w:t xml:space="preserve"> משנת 2007, שבו בין השאר הוגדלו הקנסות והוטלה חובה על מחזיק של מקום ציבורי למנוע עישון בשטח המקום שלו – המעשנים ממשיכים לעשן בחלק ניכר ממקומות ציבוריים, חלק ניכר של המחזיקים של המקומות הללו אינם מקפידים על מניעת העישון, ורשויות אכיפת החוק ממעטות באכיפת איסור העישון. התיקון, כאמור בדברי ההסבר לו, נחקק בעקבות פסק הדין של בית המשפט העליון בענ</w:t>
      </w:r>
      <w:r w:rsidR="00E0235C">
        <w:rPr>
          <w:rFonts w:hint="cs"/>
          <w:rtl/>
        </w:rPr>
        <w:t>י</w:t>
      </w:r>
      <w:r>
        <w:rPr>
          <w:rFonts w:hint="cs"/>
          <w:rtl/>
        </w:rPr>
        <w:t xml:space="preserve">ין אירית שמש נגד </w:t>
      </w:r>
      <w:proofErr w:type="spellStart"/>
      <w:r>
        <w:rPr>
          <w:rFonts w:hint="cs"/>
          <w:rtl/>
        </w:rPr>
        <w:t>פוקצ'טה</w:t>
      </w:r>
      <w:proofErr w:type="spellEnd"/>
      <w:r>
        <w:rPr>
          <w:rFonts w:hint="cs"/>
          <w:rtl/>
        </w:rPr>
        <w:t xml:space="preserve"> (רע"א 9615/05 </w:t>
      </w:r>
      <w:r w:rsidRPr="00E0235C">
        <w:rPr>
          <w:rFonts w:hint="cs"/>
          <w:b/>
          <w:bCs/>
          <w:rtl/>
        </w:rPr>
        <w:t xml:space="preserve">אירית שמש נ' </w:t>
      </w:r>
      <w:proofErr w:type="spellStart"/>
      <w:r w:rsidRPr="00E0235C">
        <w:rPr>
          <w:rFonts w:hint="cs"/>
          <w:b/>
          <w:bCs/>
          <w:rtl/>
        </w:rPr>
        <w:t>פוקצ'טה</w:t>
      </w:r>
      <w:proofErr w:type="spellEnd"/>
      <w:r w:rsidRPr="00E0235C">
        <w:rPr>
          <w:rFonts w:hint="cs"/>
          <w:b/>
          <w:bCs/>
          <w:rtl/>
        </w:rPr>
        <w:t xml:space="preserve"> בע"מ</w:t>
      </w:r>
      <w:r>
        <w:rPr>
          <w:rFonts w:hint="cs"/>
          <w:rtl/>
        </w:rPr>
        <w:t xml:space="preserve"> (</w:t>
      </w:r>
      <w:r w:rsidR="00E0235C">
        <w:rPr>
          <w:rFonts w:hint="cs"/>
          <w:rtl/>
        </w:rPr>
        <w:t xml:space="preserve">ניתן ביום </w:t>
      </w:r>
      <w:r>
        <w:rPr>
          <w:rFonts w:hint="cs"/>
          <w:rtl/>
        </w:rPr>
        <w:t>05.07.2006)), בו נמתחה ביקורת על חוסר יעילות האכיפה של חוק זה.</w:t>
      </w:r>
    </w:p>
    <w:p w14:paraId="6451C034" w14:textId="7A1285E3" w:rsidR="00140569" w:rsidRDefault="00140569" w:rsidP="00D53ECC">
      <w:pPr>
        <w:pStyle w:val="Hesber"/>
        <w:spacing w:line="240" w:lineRule="auto"/>
        <w:rPr>
          <w:rtl/>
        </w:rPr>
      </w:pPr>
      <w:r>
        <w:rPr>
          <w:rFonts w:hint="cs"/>
          <w:rtl/>
        </w:rPr>
        <w:t>עם זאת, בתיקון מס' 2 האמור ניתן אשראי רב למחזיקים של המקומות הציבוריים, מתוך הנחה שיהיו מעוניינים בבריאותם ובבריאות לקוחותיהם. מאז נצבר ניסיון של כ-10 שנים, ומסתבר כי אשראי זה לא היה מוצדק לגבי רבים מן המחזיקים. יש ביניהם אפילו המעשנים בעצמם. הם מנצלים לרעה את האשראי שניתן להם, ולכן יש להחמיר כדי להגן על בריאות הציבור – אינטרס עדיף על פני הגנה מוגז</w:t>
      </w:r>
      <w:r w:rsidR="00E0235C">
        <w:rPr>
          <w:rFonts w:hint="cs"/>
          <w:rtl/>
        </w:rPr>
        <w:t>מת למחזיקים, המנוצלת לרעה ב</w:t>
      </w:r>
      <w:r>
        <w:rPr>
          <w:rFonts w:hint="cs"/>
          <w:rtl/>
        </w:rPr>
        <w:t>מקרים</w:t>
      </w:r>
      <w:r w:rsidR="00E0235C">
        <w:rPr>
          <w:rFonts w:hint="cs"/>
          <w:rtl/>
        </w:rPr>
        <w:t xml:space="preserve"> רבים</w:t>
      </w:r>
      <w:r>
        <w:rPr>
          <w:rFonts w:hint="cs"/>
          <w:rtl/>
        </w:rPr>
        <w:t>.</w:t>
      </w:r>
    </w:p>
    <w:p w14:paraId="2F477E0F" w14:textId="5EC955E2" w:rsidR="00140569" w:rsidRDefault="00E0235C" w:rsidP="00D53ECC">
      <w:pPr>
        <w:pStyle w:val="Hesber"/>
        <w:spacing w:line="240" w:lineRule="auto"/>
        <w:rPr>
          <w:rtl/>
        </w:rPr>
      </w:pPr>
      <w:r>
        <w:rPr>
          <w:rFonts w:hint="cs"/>
          <w:rtl/>
        </w:rPr>
        <w:t xml:space="preserve">לעניין </w:t>
      </w:r>
      <w:r w:rsidR="00140569">
        <w:rPr>
          <w:rFonts w:hint="cs"/>
          <w:rtl/>
        </w:rPr>
        <w:t>תיקון מס' 2 הנ</w:t>
      </w:r>
      <w:r>
        <w:rPr>
          <w:rFonts w:hint="cs"/>
          <w:rtl/>
        </w:rPr>
        <w:t>י</w:t>
      </w:r>
      <w:r w:rsidR="00140569">
        <w:rPr>
          <w:rFonts w:hint="cs"/>
          <w:rtl/>
        </w:rPr>
        <w:t>ח</w:t>
      </w:r>
      <w:r>
        <w:rPr>
          <w:rFonts w:hint="cs"/>
          <w:rtl/>
        </w:rPr>
        <w:t>ו</w:t>
      </w:r>
      <w:r w:rsidR="00140569">
        <w:rPr>
          <w:rFonts w:hint="cs"/>
          <w:rtl/>
        </w:rPr>
        <w:t xml:space="preserve"> שהרשויות המקומיות יאכפו את החוק בגלל התמריץ הכלכלי – קנסות גבוהים עשרות מונים מקנסות על חניה – אולם גם הנחה זו הופרכה, ואכיפת הרשויות המקומיות דלה. ישנן רשויות מקומיות ש"גוררות רגליים" באכיפת החוק, אוכפות את החוק באופן סלקטיבי מבחי</w:t>
      </w:r>
      <w:r>
        <w:rPr>
          <w:rFonts w:hint="cs"/>
          <w:rtl/>
        </w:rPr>
        <w:t>נת סוגי המקומות הציבוריים (למשל</w:t>
      </w:r>
      <w:r w:rsidR="00140569">
        <w:rPr>
          <w:rFonts w:hint="cs"/>
          <w:rtl/>
        </w:rPr>
        <w:t xml:space="preserve"> עיריית תל אביב</w:t>
      </w:r>
      <w:r>
        <w:rPr>
          <w:rFonts w:hint="cs"/>
          <w:rtl/>
        </w:rPr>
        <w:t>-יפו</w:t>
      </w:r>
      <w:r w:rsidR="00140569">
        <w:rPr>
          <w:rFonts w:hint="cs"/>
          <w:rtl/>
        </w:rPr>
        <w:t xml:space="preserve"> מסרבת לאכוף את החוק במקומות עבודה, בחלקים החיצוניים של בתי אוכל, ברציפי רכבת, בבריכות שחיה ועוד) ובצורה לא סדירה ורציפה, וישנן רשויות מקומיות שאינן אוכפות את החוק כלל.</w:t>
      </w:r>
    </w:p>
    <w:p w14:paraId="64BBBFE4" w14:textId="67C02959" w:rsidR="00140569" w:rsidRDefault="00140569" w:rsidP="00D53ECC">
      <w:pPr>
        <w:pStyle w:val="Hesber"/>
        <w:spacing w:line="240" w:lineRule="auto"/>
        <w:rPr>
          <w:rtl/>
        </w:rPr>
      </w:pPr>
      <w:r>
        <w:rPr>
          <w:rFonts w:hint="cs"/>
          <w:rtl/>
        </w:rPr>
        <w:lastRenderedPageBreak/>
        <w:t>בדוח ה</w:t>
      </w:r>
      <w:r w:rsidR="00E0235C">
        <w:rPr>
          <w:rFonts w:hint="cs"/>
          <w:rtl/>
        </w:rPr>
        <w:t>ו</w:t>
      </w:r>
      <w:r>
        <w:rPr>
          <w:rFonts w:hint="cs"/>
          <w:rtl/>
        </w:rPr>
        <w:t>ועדה הציבורית לצמצום העישון ונזקיו שפורסם ב-29 במאי 2011, משרד הבריאות קבע כי: "כיום, כ-3 שנים מאז כניסתו לתוקף (של תיקון מס' 2 לחוק) ולאחר מעקב ובקרה רציפים של משרד הבריאות אחר פעילות האכיפה של החוק על ידי הרשויות המקומיות, ניתן לקבוע כי אין די בהוראות החוק לגבי האכיפה ולא ניתן להסתמך רק על הרשות המקומית לצורך כך".</w:t>
      </w:r>
    </w:p>
    <w:p w14:paraId="11BD81BF" w14:textId="7652E294" w:rsidR="00140569" w:rsidRDefault="00140569" w:rsidP="00D53ECC">
      <w:pPr>
        <w:pStyle w:val="Hesber"/>
        <w:spacing w:line="240" w:lineRule="auto"/>
        <w:rPr>
          <w:rtl/>
        </w:rPr>
      </w:pPr>
      <w:r>
        <w:rPr>
          <w:rFonts w:hint="cs"/>
          <w:rtl/>
        </w:rPr>
        <w:t>נוסף על כך, סעיף 6א(ב) לחוק מחייב את הרשויות המקומיות לדווח לשר הבריאות על פעולות הפיקוח של חוק זה – דיווחים שמפורסמים בדוח שר הבריאות על העישון בכל שנה. בשנתיים האחרונות (דוחות שר הבריאות על העישון לשנים 2014 ו-2013) משרד הבריאות לא פרסם את פעילויות הפיקוח במסגרת דוח שר הבריאות על העישון, מכיוון שרבות מן הרשויות המקומיות כלל לא שלחו דיווח שמתחייב על פי חוק.</w:t>
      </w:r>
    </w:p>
    <w:p w14:paraId="2E272FCA" w14:textId="77777777" w:rsidR="00140569" w:rsidRDefault="00140569" w:rsidP="00D53ECC">
      <w:pPr>
        <w:pStyle w:val="Hesber"/>
        <w:spacing w:line="240" w:lineRule="auto"/>
        <w:rPr>
          <w:rtl/>
        </w:rPr>
      </w:pPr>
      <w:r>
        <w:rPr>
          <w:rFonts w:hint="cs"/>
          <w:rtl/>
        </w:rPr>
        <w:t xml:space="preserve">משטרת ישראל מסרבת באופן רשמי לאכוף את החוק, למרות שסעיף 7 לחוק מקנה לה סמכות כניסה למקומות ציבוריים ונותן לה עדיפות על פני אכיפה של מפקחי הרשויות המקומיות ולמרות שמדובר בחוק פלילי, כך שתפקידה וחובתה של משטרת ישראל לאכוף חוקים פליליים. </w:t>
      </w:r>
    </w:p>
    <w:p w14:paraId="30612316" w14:textId="2D301113" w:rsidR="00140569" w:rsidRDefault="00140569" w:rsidP="00D53ECC">
      <w:pPr>
        <w:pStyle w:val="Hesber"/>
        <w:spacing w:line="240" w:lineRule="auto"/>
        <w:rPr>
          <w:rtl/>
        </w:rPr>
      </w:pPr>
      <w:r>
        <w:rPr>
          <w:rFonts w:hint="cs"/>
          <w:rtl/>
        </w:rPr>
        <w:t xml:space="preserve">נסיבות אלו אף הביאו את בית המשפט העליון לקבוע בשנת 2015, כי תובענה ייצוגית היא דרך ראויה לאכיפת החוק בפס"ד </w:t>
      </w:r>
      <w:r w:rsidRPr="00E0235C">
        <w:rPr>
          <w:rFonts w:hint="cs"/>
          <w:b/>
          <w:bCs/>
          <w:rtl/>
        </w:rPr>
        <w:t>אפרתי נ. אספרסו בר</w:t>
      </w:r>
      <w:r>
        <w:rPr>
          <w:rFonts w:hint="cs"/>
          <w:rtl/>
        </w:rPr>
        <w:t xml:space="preserve"> (ת"צ (מחוזי ת"א) 37353-04-12 </w:t>
      </w:r>
      <w:r w:rsidRPr="00E0235C">
        <w:rPr>
          <w:rFonts w:hint="cs"/>
          <w:b/>
          <w:bCs/>
          <w:rtl/>
        </w:rPr>
        <w:t xml:space="preserve">זהבה הדר אפרתי נ' </w:t>
      </w:r>
      <w:proofErr w:type="spellStart"/>
      <w:r w:rsidRPr="00E0235C">
        <w:rPr>
          <w:rFonts w:hint="cs"/>
          <w:b/>
          <w:bCs/>
          <w:rtl/>
        </w:rPr>
        <w:t>י.ע.ד</w:t>
      </w:r>
      <w:proofErr w:type="spellEnd"/>
      <w:r w:rsidRPr="00E0235C">
        <w:rPr>
          <w:rFonts w:hint="cs"/>
          <w:b/>
          <w:bCs/>
          <w:rtl/>
        </w:rPr>
        <w:t>. אספרסו בר בע"מ</w:t>
      </w:r>
      <w:r>
        <w:rPr>
          <w:rFonts w:hint="cs"/>
          <w:rtl/>
        </w:rPr>
        <w:t xml:space="preserve"> (</w:t>
      </w:r>
      <w:r w:rsidR="00E0235C">
        <w:rPr>
          <w:rFonts w:hint="cs"/>
          <w:rtl/>
        </w:rPr>
        <w:t>ניתן ביום</w:t>
      </w:r>
      <w:r>
        <w:rPr>
          <w:rFonts w:hint="cs"/>
          <w:rtl/>
        </w:rPr>
        <w:t xml:space="preserve"> 11.12.2013)).</w:t>
      </w:r>
    </w:p>
    <w:p w14:paraId="198BE081" w14:textId="77777777" w:rsidR="00140569" w:rsidRDefault="00140569" w:rsidP="00D53ECC">
      <w:pPr>
        <w:pStyle w:val="Hesber"/>
        <w:spacing w:line="240" w:lineRule="auto"/>
        <w:rPr>
          <w:rtl/>
        </w:rPr>
      </w:pPr>
      <w:r>
        <w:rPr>
          <w:rFonts w:hint="cs"/>
          <w:rtl/>
        </w:rPr>
        <w:t xml:space="preserve"> כמו כן, ישנן הוראות בחוק שאינן ברורות, משאירות כר נרחב לפרשנויות ומשבשות את כוונת המחוקק למניעת העישון במקומות ציבוריים, ולכן דורשות תיקון.</w:t>
      </w:r>
    </w:p>
    <w:p w14:paraId="263082B7" w14:textId="77777777" w:rsidR="00140569" w:rsidRDefault="00140569" w:rsidP="00D53ECC">
      <w:pPr>
        <w:pStyle w:val="Hesber"/>
        <w:spacing w:line="240" w:lineRule="auto"/>
        <w:rPr>
          <w:rtl/>
        </w:rPr>
      </w:pPr>
      <w:r>
        <w:rPr>
          <w:rFonts w:hint="cs"/>
          <w:rtl/>
        </w:rPr>
        <w:t>ישנם כשלים רבים שמכשילים אכיפה יעילה, רצינית וסדורה של החוק ולכן מחייבים תיקונים משמעותיים בעיקר באכיפה וכן בסילוק חדרי העישון מהמקומות הציבוריים הסגורים וסילוק אזורי עישון מהמקומות הציבוריים הפתוחים.</w:t>
      </w:r>
    </w:p>
    <w:p w14:paraId="2E1375C2" w14:textId="77777777" w:rsidR="00140569" w:rsidRDefault="00140569" w:rsidP="00D53ECC">
      <w:pPr>
        <w:pStyle w:val="Hesber"/>
        <w:spacing w:line="240" w:lineRule="auto"/>
        <w:rPr>
          <w:rtl/>
        </w:rPr>
      </w:pPr>
      <w:r>
        <w:rPr>
          <w:rFonts w:hint="cs"/>
          <w:rtl/>
        </w:rPr>
        <w:t>לפיכך מוצעת הצעת חוק זו.</w:t>
      </w:r>
    </w:p>
    <w:p w14:paraId="3B994DB2" w14:textId="77777777" w:rsidR="00140569" w:rsidRDefault="00140569" w:rsidP="00D53ECC">
      <w:pPr>
        <w:pStyle w:val="Hesber"/>
        <w:spacing w:line="240" w:lineRule="auto"/>
        <w:rPr>
          <w:rtl/>
        </w:rPr>
      </w:pPr>
      <w:r>
        <w:rPr>
          <w:rFonts w:hint="cs"/>
          <w:b/>
          <w:bCs/>
          <w:rtl/>
        </w:rPr>
        <w:t>סעיפים 1, 3 ו-5</w:t>
      </w:r>
      <w:r>
        <w:rPr>
          <w:rFonts w:hint="cs"/>
          <w:rtl/>
        </w:rPr>
        <w:t xml:space="preserve"> מוצע להתאים את סעיפים 1, 2 ו-22 להוספת סעיף ההגדרות.</w:t>
      </w:r>
    </w:p>
    <w:p w14:paraId="034684AD" w14:textId="77777777" w:rsidR="00140569" w:rsidRDefault="00140569" w:rsidP="00D53ECC">
      <w:pPr>
        <w:pStyle w:val="Hesber"/>
        <w:spacing w:line="240" w:lineRule="auto"/>
        <w:rPr>
          <w:rtl/>
        </w:rPr>
      </w:pPr>
      <w:r>
        <w:rPr>
          <w:rFonts w:hint="cs"/>
          <w:b/>
          <w:bCs/>
          <w:rtl/>
        </w:rPr>
        <w:t>סעיף 2</w:t>
      </w:r>
      <w:r>
        <w:rPr>
          <w:rFonts w:hint="cs"/>
          <w:rtl/>
        </w:rPr>
        <w:t xml:space="preserve"> מוצע להוסיף סעיף הגדרות שירכז את ההגדרות שבחוק, לרבות הגדרות קיימות וכאלה שיש לבצע בהן שינויים, וההגדרות חדשות.</w:t>
      </w:r>
    </w:p>
    <w:p w14:paraId="435CA09D" w14:textId="77777777" w:rsidR="00140569" w:rsidRDefault="00140569" w:rsidP="00D53ECC">
      <w:pPr>
        <w:pStyle w:val="Hesber"/>
        <w:spacing w:line="240" w:lineRule="auto"/>
        <w:rPr>
          <w:rtl/>
        </w:rPr>
      </w:pPr>
      <w:r>
        <w:rPr>
          <w:rFonts w:hint="cs"/>
          <w:rtl/>
        </w:rPr>
        <w:t>מוצע להעביר את ההגדרה של "מאפרה" מסעיף 2ב לחוק העיקרי ולשנות אותה, שכן הניסיון מראה שגם כלים שייעודם המקורי היה אחר – למשל תחתיות לבירה או כלים להשלכת אשפה קטנה (בעיקר בבתי אוכל), שימשו בפועל כמאפרות.</w:t>
      </w:r>
    </w:p>
    <w:p w14:paraId="538A709E" w14:textId="77777777" w:rsidR="00140569" w:rsidRDefault="00140569" w:rsidP="00D53ECC">
      <w:pPr>
        <w:pStyle w:val="Hesber"/>
        <w:spacing w:line="240" w:lineRule="auto"/>
        <w:rPr>
          <w:rtl/>
        </w:rPr>
      </w:pPr>
      <w:r>
        <w:rPr>
          <w:rFonts w:hint="cs"/>
          <w:rtl/>
        </w:rPr>
        <w:t xml:space="preserve">מוצע להעביר את ההגדרה של "מפקח" לסעיף ההגדרות ולכלול בה גם מפקח מטעם משרד הבריאות. </w:t>
      </w:r>
    </w:p>
    <w:p w14:paraId="010F361E" w14:textId="34C62722" w:rsidR="00140569" w:rsidRDefault="00140569" w:rsidP="00D53ECC">
      <w:pPr>
        <w:pStyle w:val="Hesber"/>
        <w:spacing w:line="240" w:lineRule="auto"/>
        <w:rPr>
          <w:rtl/>
        </w:rPr>
      </w:pPr>
      <w:r>
        <w:rPr>
          <w:rFonts w:hint="cs"/>
          <w:rtl/>
        </w:rPr>
        <w:t>הגדרת מוצרי עישון – השימוש במוצרים חלופיים לסיגריות כדוגמת סיגריות אלקטרוניות וכן מוצרי עישון אחרים כדוגמת נרגילות ללא טבק או מוצרים אחרים המיועדים לעישון ואינם מכילים טבק, הפך לאחרונה לנפוץ בקרב חלק מהציבור. מוצרים אלה אינם מכילים טבק ולכן, החוק אינו חל עליהם. השימוש בחלק ממוצרים אלה נעשה דרך אידוי ולא בדרך בעירה, כפי שנעשה במוצרי טבק. עם זאת, גם הליך האידוי וכל שכן הליך הבעירה, מייצר חלקיקים שונים, כולל חומרים מזיקים, רעילים ומסרטנים הנפלטים למרחב הציבורי.</w:t>
      </w:r>
    </w:p>
    <w:p w14:paraId="3F9BD2C6" w14:textId="77777777" w:rsidR="00140569" w:rsidRDefault="00140569" w:rsidP="00D53ECC">
      <w:pPr>
        <w:pStyle w:val="Hesber"/>
        <w:spacing w:line="240" w:lineRule="auto"/>
        <w:rPr>
          <w:rtl/>
        </w:rPr>
      </w:pPr>
      <w:r>
        <w:rPr>
          <w:rFonts w:hint="cs"/>
          <w:rtl/>
        </w:rPr>
        <w:t>לדוגמא: לפי אגודת הריאות האמריקאית (</w:t>
      </w:r>
      <w:r>
        <w:t>ALA</w:t>
      </w:r>
      <w:r>
        <w:rPr>
          <w:rFonts w:hint="cs"/>
          <w:rtl/>
        </w:rPr>
        <w:t xml:space="preserve">) – נמצא כי עשן קנאביס מכיל רבים מאותם חומרים רעילים ומסרטנים שמכיל עשן טבק. בסיגריות אלקטרוניות נמצאו חומרים מסרטנים גם כן. </w:t>
      </w:r>
    </w:p>
    <w:p w14:paraId="57F1C069" w14:textId="4F45C28D" w:rsidR="00140569" w:rsidRDefault="00140569" w:rsidP="00D53ECC">
      <w:pPr>
        <w:pStyle w:val="Hesber"/>
        <w:spacing w:line="240" w:lineRule="auto"/>
        <w:rPr>
          <w:rtl/>
        </w:rPr>
      </w:pPr>
      <w:r>
        <w:rPr>
          <w:rFonts w:hint="cs"/>
          <w:rtl/>
        </w:rPr>
        <w:t xml:space="preserve">בהצגות תיאטרון השתמשו עד לפני מספר שנים בסיגריות טבק, אולם לאחר פסק דינו של בית המשפט העליון בעניין אברהמי נגד התיאטרון העירוני חיפה ועיריית חיפה (ת"צ (מחוזי חי') 4050-12-09 </w:t>
      </w:r>
      <w:r w:rsidRPr="000B7372">
        <w:rPr>
          <w:rFonts w:hint="cs"/>
          <w:b/>
          <w:bCs/>
          <w:rtl/>
        </w:rPr>
        <w:t>עינב אברהמי נ' התיאטרון העירוני חיפה בע"מ ואח'</w:t>
      </w:r>
      <w:r>
        <w:rPr>
          <w:rFonts w:hint="cs"/>
          <w:rtl/>
        </w:rPr>
        <w:t xml:space="preserve"> (</w:t>
      </w:r>
      <w:r w:rsidR="000B7372">
        <w:rPr>
          <w:rFonts w:hint="cs"/>
          <w:rtl/>
        </w:rPr>
        <w:t>ניתן ביום</w:t>
      </w:r>
      <w:r>
        <w:rPr>
          <w:rFonts w:hint="cs"/>
          <w:rtl/>
        </w:rPr>
        <w:t xml:space="preserve"> 27.10.2010)), שאסר עישון טבק על הבמה, כיום, לפחות כפי שטוענים התיאטראות, נעשה שימוש בסיגריות שבהן יש "תערובות צמחים" שהרכבן אינו ידוע, ולא ידוע אם בכלל אכן מדובר בחומר שהוא אינו טבק.</w:t>
      </w:r>
    </w:p>
    <w:p w14:paraId="706F5036" w14:textId="3D06B180" w:rsidR="00140569" w:rsidRDefault="000B7372" w:rsidP="00D53ECC">
      <w:pPr>
        <w:pStyle w:val="Hesber"/>
        <w:spacing w:line="240" w:lineRule="auto"/>
        <w:rPr>
          <w:rtl/>
        </w:rPr>
      </w:pPr>
      <w:r>
        <w:rPr>
          <w:rFonts w:hint="cs"/>
          <w:rtl/>
        </w:rPr>
        <w:t>מי</w:t>
      </w:r>
      <w:r w:rsidR="00140569">
        <w:rPr>
          <w:rFonts w:hint="cs"/>
          <w:rtl/>
        </w:rPr>
        <w:t xml:space="preserve"> שבא לצפות בהצגת תיאטרון אינו יודע מה יש באותן "תערובות צמחים", אם אכן אין מדובר בטבק, והוא גם אינו יודע אילו חומרים נפלטים כתוצאה מהבעירה של אותן תערובות צמחים.</w:t>
      </w:r>
    </w:p>
    <w:p w14:paraId="7965202C" w14:textId="77777777" w:rsidR="00140569" w:rsidRDefault="00140569" w:rsidP="00D53ECC">
      <w:pPr>
        <w:pStyle w:val="Hesber"/>
        <w:spacing w:line="240" w:lineRule="auto"/>
        <w:rPr>
          <w:rtl/>
        </w:rPr>
      </w:pPr>
      <w:r>
        <w:rPr>
          <w:rFonts w:hint="cs"/>
          <w:rtl/>
        </w:rPr>
        <w:t>מעבר לכך העיקרון צריך להיות שאסור לכפות על אנשים לנשום עשן (או אדים במקרה של סיגריות אלקטרוניות) במקומות ציבוריים, גם אם לא מדובר בעשן טבק.</w:t>
      </w:r>
    </w:p>
    <w:p w14:paraId="3790423A" w14:textId="77777777" w:rsidR="00140569" w:rsidRDefault="00140569" w:rsidP="00D53ECC">
      <w:pPr>
        <w:pStyle w:val="Hesber"/>
        <w:spacing w:line="240" w:lineRule="auto"/>
        <w:rPr>
          <w:rtl/>
        </w:rPr>
      </w:pPr>
      <w:r>
        <w:rPr>
          <w:rFonts w:hint="cs"/>
          <w:rtl/>
        </w:rPr>
        <w:t>לפיכך, מוצע כי אותן המגבלות החלות על עישון מוצרי טבק במקומות ציבוריים יחולו גם על שימוש במוצרי עישון אשר אינם מכילים טבק על מנת למנוע חשיפת הציבור לחומרים השונים ולאדים המזיקים הנוצרים והנפלטים למרחב הציבורי במהלך השימוש בהם.</w:t>
      </w:r>
    </w:p>
    <w:p w14:paraId="344989DB" w14:textId="5D982D53" w:rsidR="00140569" w:rsidRDefault="00140569" w:rsidP="00D53ECC">
      <w:pPr>
        <w:pStyle w:val="Hesber"/>
        <w:spacing w:line="240" w:lineRule="auto"/>
        <w:rPr>
          <w:rtl/>
        </w:rPr>
      </w:pPr>
      <w:r>
        <w:rPr>
          <w:rFonts w:hint="cs"/>
          <w:rtl/>
        </w:rPr>
        <w:t>מוצע לתקן את ההגדרות הקבועות כיום בחוק כך שתתווסף ההגדרה "מוצר עישון" הכוללת מוצרי טבק וכן מוצרים נוספים המיועדים או המשמשים לעישון, גם אם אינם מכילים טבק.</w:t>
      </w:r>
      <w:r w:rsidR="000B7372">
        <w:rPr>
          <w:rFonts w:hint="cs"/>
          <w:rtl/>
        </w:rPr>
        <w:t xml:space="preserve"> כמו</w:t>
      </w:r>
      <w:r>
        <w:rPr>
          <w:rFonts w:hint="cs"/>
          <w:rtl/>
        </w:rPr>
        <w:t xml:space="preserve"> כן מוצע להגדיר מוצר עישון כמוצר שנועד הן לעישון והן לשאיפת אדים.</w:t>
      </w:r>
    </w:p>
    <w:p w14:paraId="043A67C9" w14:textId="77777777" w:rsidR="00140569" w:rsidRDefault="00140569" w:rsidP="00D53ECC">
      <w:pPr>
        <w:pStyle w:val="Hesber"/>
        <w:spacing w:line="240" w:lineRule="auto"/>
        <w:rPr>
          <w:rtl/>
        </w:rPr>
      </w:pPr>
      <w:r>
        <w:rPr>
          <w:rFonts w:hint="cs"/>
          <w:rtl/>
        </w:rPr>
        <w:t xml:space="preserve">הגדרת המונח "מחזיק של מקום ציבורי" – מוצע להגדיר מחדש מיהו המחזיק של מקום ציבורי. כיום מוגדר המונח בסעיף 2 – "המחזיק למעשה של מקום ציבורי כבעלים, כשוכר או בכל אופן אחר". במסגרת הגדרה זו – לא מספיק ברור אם כאשר מדובר ברשת של זכיינים או בחברת בת – האם גם הנהלת הרשת או הנהלת חברת האם היא גם המחזיק של המקום, או רק הזכיינים או חברת הבת. ההגדרה המוצעת היא שכל מי שיש לו שליטה במקום הוא המחזיק של המקום, כלומר לא רק הזכיין או חברת הבת, אלא גם </w:t>
      </w:r>
      <w:r>
        <w:rPr>
          <w:rFonts w:hint="cs"/>
          <w:rtl/>
        </w:rPr>
        <w:lastRenderedPageBreak/>
        <w:t>הנהלת הרשת (החברה המזכה) או חברת האם.</w:t>
      </w:r>
    </w:p>
    <w:p w14:paraId="4FAC3999" w14:textId="320FC2B0" w:rsidR="00140569" w:rsidRDefault="00140569" w:rsidP="00D53ECC">
      <w:pPr>
        <w:pStyle w:val="Hesber"/>
        <w:spacing w:line="240" w:lineRule="auto"/>
        <w:rPr>
          <w:rtl/>
        </w:rPr>
      </w:pPr>
      <w:r>
        <w:rPr>
          <w:rFonts w:hint="cs"/>
          <w:rtl/>
        </w:rPr>
        <w:t xml:space="preserve">הגדרת המונח "מקום ציבורי" – מוצע לכלול איסור עישון גם במרחק של 5 מטרים מכניסות, יציאות ופתחי אוורור של מקום ציבורי המפורט בתוספת, אלא אם </w:t>
      </w:r>
      <w:r w:rsidR="000B7372">
        <w:rPr>
          <w:rFonts w:hint="cs"/>
          <w:rtl/>
        </w:rPr>
        <w:t xml:space="preserve">כן </w:t>
      </w:r>
      <w:proofErr w:type="spellStart"/>
      <w:r>
        <w:rPr>
          <w:rFonts w:hint="cs"/>
          <w:rtl/>
        </w:rPr>
        <w:t>צויין</w:t>
      </w:r>
      <w:proofErr w:type="spellEnd"/>
      <w:r>
        <w:rPr>
          <w:rFonts w:hint="cs"/>
          <w:rtl/>
        </w:rPr>
        <w:t xml:space="preserve"> מרחק אחר בתוספת. </w:t>
      </w:r>
    </w:p>
    <w:p w14:paraId="1D2A8989" w14:textId="77777777" w:rsidR="00140569" w:rsidRDefault="00140569" w:rsidP="00D53ECC">
      <w:pPr>
        <w:pStyle w:val="Hesber"/>
        <w:spacing w:line="240" w:lineRule="auto"/>
        <w:rPr>
          <w:rtl/>
        </w:rPr>
      </w:pPr>
      <w:r>
        <w:rPr>
          <w:rFonts w:hint="cs"/>
          <w:rtl/>
        </w:rPr>
        <w:t>עישון ליד כניסות ויציאות של מקומות ציבוריים מהווה מטרד – הן לנכנסים למקומות הציבוריים וליוצאים מהם, והן לשוהים בתוך המקומות הציבוריים כאשר העשן חודר אל תוך המקום, וההגנה על האנשים הלא מעשנים מפני עישון כפוי נפגעת. עשן הנכנס דרך פתחי אוורור כדוגמת חלונות גם הוא מהווה מטרד לשוהים במקום הציבורי, ופוגם אף הוא בהגנה על האנשים הלא מעשנים מפני חשיפה לעשן.</w:t>
      </w:r>
    </w:p>
    <w:p w14:paraId="03EB1647" w14:textId="77777777" w:rsidR="00140569" w:rsidRDefault="00140569" w:rsidP="00D53ECC">
      <w:pPr>
        <w:pStyle w:val="Hesber"/>
        <w:spacing w:line="240" w:lineRule="auto"/>
        <w:rPr>
          <w:rtl/>
        </w:rPr>
      </w:pPr>
      <w:r>
        <w:rPr>
          <w:rFonts w:hint="cs"/>
          <w:rtl/>
        </w:rPr>
        <w:t>לכן קביעת איסור עישון במרחק מכניסות, יציאות ופתחי אוורור של מקומות ציבוריים צריכה להיות כוללת – לגבי כלל המקומות הציבוריים, ולא רק לגבי מרפאות ובתי חולים (כפי שקיים כיום).</w:t>
      </w:r>
    </w:p>
    <w:p w14:paraId="6CC25C89" w14:textId="77777777" w:rsidR="00140569" w:rsidRDefault="00140569" w:rsidP="00D53ECC">
      <w:pPr>
        <w:pStyle w:val="Hesber"/>
        <w:spacing w:line="240" w:lineRule="auto"/>
        <w:rPr>
          <w:rtl/>
        </w:rPr>
      </w:pPr>
      <w:r>
        <w:rPr>
          <w:rFonts w:hint="cs"/>
          <w:rtl/>
        </w:rPr>
        <w:t>על מנת למנוע פרשנויות מוטעות, מוצע לציין באופן מפורש שהעישון בבניינים אסור לחלוטין, לרבות במרפסות, גגות, חדרי מדרגות, מדרגות חיצוניות וכיוצא בזה.</w:t>
      </w:r>
    </w:p>
    <w:p w14:paraId="7764DD31" w14:textId="774C040D" w:rsidR="00140569" w:rsidRDefault="00140569" w:rsidP="00D53ECC">
      <w:pPr>
        <w:pStyle w:val="Hesber"/>
        <w:spacing w:line="240" w:lineRule="auto"/>
        <w:rPr>
          <w:rtl/>
        </w:rPr>
      </w:pPr>
      <w:r>
        <w:rPr>
          <w:rFonts w:hint="cs"/>
          <w:b/>
          <w:bCs/>
          <w:rtl/>
        </w:rPr>
        <w:t xml:space="preserve">סעיף 4 </w:t>
      </w:r>
      <w:r>
        <w:rPr>
          <w:rFonts w:hint="cs"/>
          <w:rtl/>
        </w:rPr>
        <w:t>סעיף 2א לחוק בנוסחו כיום אמור לפרט את הדרישות ממחזיקים של מקומות ציבוריים, אולם בפועל הוא משמש סעיף שדווקא מהווה הגנה על המחזיקים ומאפשר להם לחמוק בקלות ממניעת העישון בשטחי המקומות. הסעיף כיום קובע כי מחזיק של מקום ציבורי חייב לעשות 2 דברים קונקרטיים – לבקש ממעשנים לחדול מהעישון, ובמקרה של סירוב – להתקשר למוקד ה</w:t>
      </w:r>
      <w:r w:rsidR="000B7372">
        <w:rPr>
          <w:rFonts w:hint="cs"/>
          <w:rtl/>
        </w:rPr>
        <w:t>עירוני ולהזמין מפקחים שייתנו דו</w:t>
      </w:r>
      <w:r>
        <w:rPr>
          <w:rFonts w:hint="cs"/>
          <w:rtl/>
        </w:rPr>
        <w:t>חות למעשנים.</w:t>
      </w:r>
    </w:p>
    <w:p w14:paraId="73869084" w14:textId="451F7B2F" w:rsidR="00140569" w:rsidRDefault="000B7372" w:rsidP="00D53ECC">
      <w:pPr>
        <w:pStyle w:val="Hesber"/>
        <w:spacing w:line="240" w:lineRule="auto"/>
        <w:rPr>
          <w:rtl/>
        </w:rPr>
      </w:pPr>
      <w:r>
        <w:rPr>
          <w:rFonts w:hint="cs"/>
          <w:rtl/>
        </w:rPr>
        <w:t>כמו כן</w:t>
      </w:r>
      <w:r w:rsidR="00140569">
        <w:rPr>
          <w:rFonts w:hint="cs"/>
          <w:rtl/>
        </w:rPr>
        <w:t>, נדרש המחזיק של מקום ציבורי "לעשות כל שניתן" ו"לנקוט אמצעים סבירים" למניעת העישון במקום, כאשר דרישות אלה הן מעורפלות, סובייקטיביות וניתנות לפרשנות – הן על ידי המחזיקים של המקומות, הן על ידי מפקחים, הן על ידי תובעים פליליים והן על ידי שופטים.</w:t>
      </w:r>
    </w:p>
    <w:p w14:paraId="0C631191" w14:textId="63C59F60" w:rsidR="00140569" w:rsidRDefault="00140569" w:rsidP="00D53ECC">
      <w:pPr>
        <w:pStyle w:val="Hesber"/>
        <w:spacing w:line="240" w:lineRule="auto"/>
        <w:rPr>
          <w:rtl/>
        </w:rPr>
      </w:pPr>
      <w:r>
        <w:rPr>
          <w:rFonts w:hint="cs"/>
          <w:rtl/>
        </w:rPr>
        <w:t>הניסיון שנרכש במשך השנים מלמד כי לא כל המחזיקים במקומות ציבוריים פועלים באופן נחרץ כדי למנוע את העישון במקום ויש כאלה אשר אף משתפים פעולה עם המעשנים במקום, למשל, על ידי עיכוב כניסת מפקח והתרעה למעשנים שבתוך המקום לכבות סיגריות, וכן התקשרות לפיקוח העירוני אך ורק על מנת לקבל חסינות מפני דוחות, במקרה בעל הסיכוי הקלוש שמפקחים יגיעו למקום.</w:t>
      </w:r>
    </w:p>
    <w:p w14:paraId="4FA593A8" w14:textId="77777777" w:rsidR="00140569" w:rsidRDefault="00140569" w:rsidP="00D53ECC">
      <w:pPr>
        <w:pStyle w:val="Hesber"/>
        <w:spacing w:line="240" w:lineRule="auto"/>
        <w:rPr>
          <w:rtl/>
        </w:rPr>
      </w:pPr>
      <w:r>
        <w:rPr>
          <w:rFonts w:hint="cs"/>
          <w:rtl/>
        </w:rPr>
        <w:t>אם מוגשת נגדם תביעה פלילית או אזרחית – הם אומרים שביקשו ממעשנים לחדול מהעישון – בין אם עשו זאת, בין אם ביקשו זאת ממעשן אחד או שניים, ובין אם לא עשו זאת כלל.</w:t>
      </w:r>
    </w:p>
    <w:p w14:paraId="1E1E85C6" w14:textId="5FD4BADF" w:rsidR="00140569" w:rsidRDefault="00140569" w:rsidP="00D53ECC">
      <w:pPr>
        <w:pStyle w:val="Hesber"/>
        <w:spacing w:line="240" w:lineRule="auto"/>
        <w:rPr>
          <w:rtl/>
        </w:rPr>
      </w:pPr>
      <w:r>
        <w:rPr>
          <w:rFonts w:hint="cs"/>
          <w:rtl/>
        </w:rPr>
        <w:t>פרקטיקה זו אף מתוארת בדוח ה</w:t>
      </w:r>
      <w:r w:rsidR="000B7372">
        <w:rPr>
          <w:rFonts w:hint="cs"/>
          <w:rtl/>
        </w:rPr>
        <w:t>ו</w:t>
      </w:r>
      <w:r>
        <w:rPr>
          <w:rFonts w:hint="cs"/>
          <w:rtl/>
        </w:rPr>
        <w:t>ועדה הציבורית לצמצום העישון ונזקיו של משרד הבריאות: "מצב זה נפוץ במיוחד במועדונים ובפאבים, שם לעיתים קרובות מעוכב הפקח בכניסה למקום, בזמן שמזהירים את הנמצאים במקום ומבקשים מהם לכבות את הסיגריות שבידיהם".</w:t>
      </w:r>
    </w:p>
    <w:p w14:paraId="13FECC6E" w14:textId="77777777" w:rsidR="00140569" w:rsidRDefault="00140569" w:rsidP="00D53ECC">
      <w:pPr>
        <w:pStyle w:val="Hesber"/>
        <w:spacing w:line="240" w:lineRule="auto"/>
        <w:rPr>
          <w:rtl/>
        </w:rPr>
      </w:pPr>
      <w:r>
        <w:rPr>
          <w:rFonts w:hint="cs"/>
          <w:rtl/>
        </w:rPr>
        <w:t>לגבי המעשנים – המעשנים פועלים בשיטת "מצליח" – הם מדליקים סיגריה, במקרה הטוב מבחינתם הם מצליחים לעשן ללא הפרעה, ובמקרה הרע מבחינתם - הם מתבקשים לכבות את הסיגריה ותו לא, הם לא מפסידים דבר, שהרי לא ננקטת נגדם סנקציה על ידי המחזיק של המקום, האכיפה של הרשויות דלה, ורק במקרים בודדים מעשנים מקבלים דו"חות ממפקחים. ולכן המעשנים ממשיכים להדליק סיגריות במקומות ציבוריים.</w:t>
      </w:r>
    </w:p>
    <w:p w14:paraId="30F56716" w14:textId="0BA202E1" w:rsidR="00140569" w:rsidRDefault="00140569" w:rsidP="00D53ECC">
      <w:pPr>
        <w:pStyle w:val="Hesber"/>
        <w:spacing w:line="240" w:lineRule="auto"/>
        <w:rPr>
          <w:rtl/>
        </w:rPr>
      </w:pPr>
      <w:r>
        <w:rPr>
          <w:rFonts w:hint="cs"/>
          <w:rtl/>
        </w:rPr>
        <w:t>יש צורך בנקיטת אמצעי אחר, מידתי, אך מרתיע, לא משאיר בידי בעלי המקומות דרך לחמוק מציות לחוק, וגם למעשנים יהיה מה להפסיד כתוצאה מניסיון להדליק סיגריה במקום ציבורי, אף בלי שיגיע מפקח או שוטר למקום (אלא אם</w:t>
      </w:r>
      <w:r w:rsidR="000B7372">
        <w:rPr>
          <w:rFonts w:hint="cs"/>
          <w:rtl/>
        </w:rPr>
        <w:t xml:space="preserve"> כן</w:t>
      </w:r>
      <w:r>
        <w:rPr>
          <w:rFonts w:hint="cs"/>
          <w:rtl/>
        </w:rPr>
        <w:t xml:space="preserve"> מדובר באדם שלא רק מסרב לחדול מהעישון, אלא גם נוקט באלימות כאשר הוא מתבקש לעשות כן).</w:t>
      </w:r>
    </w:p>
    <w:p w14:paraId="518089A3" w14:textId="77777777" w:rsidR="00140569" w:rsidRDefault="00140569" w:rsidP="00D53ECC">
      <w:pPr>
        <w:pStyle w:val="Hesber"/>
        <w:spacing w:line="240" w:lineRule="auto"/>
        <w:rPr>
          <w:rtl/>
        </w:rPr>
      </w:pPr>
      <w:r>
        <w:rPr>
          <w:rFonts w:hint="cs"/>
          <w:rtl/>
        </w:rPr>
        <w:t>התיקון הנדרש הוא למעשה מבחן התוצאה, ולא מבחן המאמץ.</w:t>
      </w:r>
    </w:p>
    <w:p w14:paraId="4B2D1977" w14:textId="77777777" w:rsidR="00140569" w:rsidRDefault="00140569" w:rsidP="00D53ECC">
      <w:pPr>
        <w:pStyle w:val="Hesber"/>
        <w:spacing w:line="240" w:lineRule="auto"/>
        <w:rPr>
          <w:rtl/>
        </w:rPr>
      </w:pPr>
      <w:r>
        <w:rPr>
          <w:rFonts w:hint="cs"/>
          <w:rtl/>
        </w:rPr>
        <w:t>מבחן התוצאה גורס שאם ישנם מעשנים במקום, נובע מכך שבעלי המקום לא עשו כל שניתן למנוע את העישון במקום.</w:t>
      </w:r>
    </w:p>
    <w:p w14:paraId="1C36CF9C" w14:textId="61551D1F" w:rsidR="00140569" w:rsidRDefault="00140569" w:rsidP="00D53ECC">
      <w:pPr>
        <w:pStyle w:val="Hesber"/>
        <w:spacing w:line="240" w:lineRule="auto"/>
        <w:rPr>
          <w:rtl/>
        </w:rPr>
      </w:pPr>
      <w:r>
        <w:rPr>
          <w:rFonts w:hint="cs"/>
          <w:rtl/>
        </w:rPr>
        <w:t xml:space="preserve">לכן מוצע כי מחזיק של מקום ציבורי יידרש להוכיח כי נקט בארבעה צעדים: דרש מהמעשן לחדול, הורה בכתב למפקח ולמאבטח לגרום למעשן להפסיק לעשן, והתלונן בפני רשות מקומית. אם </w:t>
      </w:r>
      <w:r w:rsidR="000B7372">
        <w:rPr>
          <w:rFonts w:hint="cs"/>
          <w:rtl/>
        </w:rPr>
        <w:t>י</w:t>
      </w:r>
      <w:r>
        <w:rPr>
          <w:rFonts w:hint="cs"/>
          <w:rtl/>
        </w:rPr>
        <w:t xml:space="preserve">ימצא במקום יותר מאדם אחד שעישן יראו את המחזיק של המקום הציבורי כמי שלא מילא אחר הוראות חוק זה. </w:t>
      </w:r>
    </w:p>
    <w:p w14:paraId="7DC7644B" w14:textId="6F7CB3DD" w:rsidR="00140569" w:rsidRDefault="00140569" w:rsidP="00D53ECC">
      <w:pPr>
        <w:pStyle w:val="Hesber"/>
        <w:spacing w:line="240" w:lineRule="auto"/>
        <w:rPr>
          <w:rtl/>
        </w:rPr>
      </w:pPr>
      <w:r>
        <w:rPr>
          <w:rFonts w:hint="cs"/>
          <w:b/>
          <w:bCs/>
          <w:rtl/>
        </w:rPr>
        <w:t>סעיף 6</w:t>
      </w:r>
      <w:r>
        <w:rPr>
          <w:rFonts w:hint="cs"/>
          <w:rtl/>
        </w:rPr>
        <w:t xml:space="preserve"> מוצע להוסיף הוראה הקובעת כי מחזיק של מקום ציבורי, החייב ברישיון עסק לפי חוק רישוי עסקים, </w:t>
      </w:r>
      <w:proofErr w:type="spellStart"/>
      <w:r>
        <w:rPr>
          <w:rFonts w:hint="cs"/>
          <w:rtl/>
        </w:rPr>
        <w:t>התשכ"ח</w:t>
      </w:r>
      <w:proofErr w:type="spellEnd"/>
      <w:r>
        <w:rPr>
          <w:rFonts w:hint="cs"/>
          <w:rtl/>
        </w:rPr>
        <w:t xml:space="preserve">–1968, שאפשר לאדם לעשן בעסק שהוא מקום ציבורי מהמקומות המפורטים בפרטים 10, 11, 17 ו-18 לתוספת, יראו אותו כמי שלא קיים תנאי מתנאי הרישיון כאמור והוראות חוק רישוי עסקים, </w:t>
      </w:r>
      <w:proofErr w:type="spellStart"/>
      <w:r>
        <w:rPr>
          <w:rFonts w:hint="cs"/>
          <w:rtl/>
        </w:rPr>
        <w:t>התשכ"ח</w:t>
      </w:r>
      <w:proofErr w:type="spellEnd"/>
      <w:r>
        <w:rPr>
          <w:rFonts w:hint="cs"/>
          <w:rtl/>
        </w:rPr>
        <w:t>– 1968</w:t>
      </w:r>
      <w:r w:rsidR="000B7372">
        <w:rPr>
          <w:rFonts w:hint="cs"/>
          <w:rtl/>
        </w:rPr>
        <w:t xml:space="preserve">, </w:t>
      </w:r>
      <w:r>
        <w:rPr>
          <w:rFonts w:hint="cs"/>
          <w:rtl/>
        </w:rPr>
        <w:t>יחולו עליו.</w:t>
      </w:r>
    </w:p>
    <w:p w14:paraId="655F7C2B" w14:textId="77777777" w:rsidR="00140569" w:rsidRDefault="00140569" w:rsidP="00D53ECC">
      <w:pPr>
        <w:pStyle w:val="Hesber"/>
        <w:spacing w:line="240" w:lineRule="auto"/>
        <w:rPr>
          <w:rtl/>
        </w:rPr>
      </w:pPr>
      <w:r>
        <w:rPr>
          <w:rFonts w:hint="cs"/>
          <w:b/>
          <w:bCs/>
          <w:rtl/>
        </w:rPr>
        <w:t>סעיף 7</w:t>
      </w:r>
      <w:r>
        <w:rPr>
          <w:rFonts w:hint="cs"/>
          <w:rtl/>
        </w:rPr>
        <w:t xml:space="preserve"> מוצע שהעונש על נושא משרה בתאגיד שהוא מחזיק של מקום ציבורי שלא עושה כל שניתן למניעת העבירות </w:t>
      </w:r>
      <w:proofErr w:type="spellStart"/>
      <w:r>
        <w:rPr>
          <w:rFonts w:hint="cs"/>
          <w:rtl/>
        </w:rPr>
        <w:t>בסעפים</w:t>
      </w:r>
      <w:proofErr w:type="spellEnd"/>
      <w:r>
        <w:rPr>
          <w:rFonts w:hint="cs"/>
          <w:rtl/>
        </w:rPr>
        <w:t xml:space="preserve"> 2, 2א, 2ב לחוק העיקרי יועבר לתוך סעיף 4 לחוק העיקרי שהוא סעיף העונשין.</w:t>
      </w:r>
    </w:p>
    <w:p w14:paraId="1B2B5F41" w14:textId="1E0D17C7" w:rsidR="00140569" w:rsidRDefault="00140569" w:rsidP="00D53ECC">
      <w:pPr>
        <w:pStyle w:val="Hesber"/>
        <w:spacing w:line="240" w:lineRule="auto"/>
        <w:rPr>
          <w:rtl/>
        </w:rPr>
      </w:pPr>
      <w:r>
        <w:rPr>
          <w:rFonts w:hint="cs"/>
          <w:rtl/>
        </w:rPr>
        <w:t>כמו כן</w:t>
      </w:r>
      <w:r w:rsidR="000B7372">
        <w:rPr>
          <w:rFonts w:hint="cs"/>
          <w:rtl/>
        </w:rPr>
        <w:t>,</w:t>
      </w:r>
      <w:r>
        <w:rPr>
          <w:rFonts w:hint="cs"/>
          <w:rtl/>
        </w:rPr>
        <w:t xml:space="preserve"> מוצע להחמיר את הקנס (לפי סעיף 61(א)(2) לחוק העונשין במקום לפי סעיף 61(א)(1) לחוק העונשין) ואף לאפשר לבית המשפט להטיל עונש מאסר על מעשנים במקומות ציבוריים ועל נושאי משרה בתאגידים של מקומות ציבוריים שאינם מונעים עישון בשטחם, כדי להרתיע.</w:t>
      </w:r>
    </w:p>
    <w:p w14:paraId="69F20E16" w14:textId="7755F5BF" w:rsidR="00140569" w:rsidRDefault="00140569" w:rsidP="00D53ECC">
      <w:pPr>
        <w:pStyle w:val="Hesber"/>
        <w:spacing w:line="240" w:lineRule="auto"/>
        <w:rPr>
          <w:rtl/>
        </w:rPr>
      </w:pPr>
      <w:r>
        <w:rPr>
          <w:rFonts w:hint="cs"/>
          <w:rtl/>
        </w:rPr>
        <w:t>חשוב לציין שלפי סעיף 13 לחוק שמירת הניקיון</w:t>
      </w:r>
      <w:r w:rsidR="000B7372">
        <w:rPr>
          <w:rFonts w:hint="cs"/>
          <w:rtl/>
        </w:rPr>
        <w:t>,</w:t>
      </w:r>
      <w:r>
        <w:rPr>
          <w:rFonts w:hint="cs"/>
          <w:rtl/>
        </w:rPr>
        <w:t xml:space="preserve"> </w:t>
      </w:r>
      <w:proofErr w:type="spellStart"/>
      <w:r>
        <w:rPr>
          <w:rFonts w:hint="cs"/>
          <w:rtl/>
        </w:rPr>
        <w:t>התשמ"ד</w:t>
      </w:r>
      <w:proofErr w:type="spellEnd"/>
      <w:r>
        <w:rPr>
          <w:rFonts w:hint="cs"/>
          <w:rtl/>
        </w:rPr>
        <w:t xml:space="preserve">–1984, העונש על השלכת פסולת (כמו בדל סיגריה) ברשות הרבים הוא "מאסר שנה או קנס כאמור בסעיף 61(א)(4) לחוק העונשין", כך שאין כל סיבה שאדם שמעשן במקום ציבורי יקבל עונש קל בהרבה מאשר אדם שמשליך בדל סיגריה (או כל פסולת קטנה </w:t>
      </w:r>
      <w:r>
        <w:rPr>
          <w:rFonts w:hint="cs"/>
          <w:rtl/>
        </w:rPr>
        <w:lastRenderedPageBreak/>
        <w:t>אחרת) ברשות הרבים.</w:t>
      </w:r>
    </w:p>
    <w:p w14:paraId="06135B28" w14:textId="77777777" w:rsidR="00140569" w:rsidRDefault="00140569" w:rsidP="00D53ECC">
      <w:pPr>
        <w:pStyle w:val="Hesber"/>
        <w:spacing w:line="240" w:lineRule="auto"/>
        <w:rPr>
          <w:rtl/>
        </w:rPr>
      </w:pPr>
      <w:r>
        <w:rPr>
          <w:rFonts w:hint="cs"/>
          <w:rtl/>
        </w:rPr>
        <w:t>מוצע להשוות את הקנס על הצבת מאפרות בשטח מקום ציבורי לקנס בגין אי מניעת עישון ואי קביעת שלטים מכיוון שהצבת מאפרות נותנת גושפנקא באופן אקטיבי לעישון במקום, והיא לא פחות חמורה מאי קביעת שלטים.</w:t>
      </w:r>
    </w:p>
    <w:p w14:paraId="2F9CB5FE" w14:textId="0822E579" w:rsidR="00140569" w:rsidRDefault="00140569" w:rsidP="00D53ECC">
      <w:pPr>
        <w:pStyle w:val="Hesber"/>
        <w:spacing w:line="240" w:lineRule="auto"/>
        <w:rPr>
          <w:rtl/>
        </w:rPr>
      </w:pPr>
      <w:r>
        <w:rPr>
          <w:rFonts w:hint="cs"/>
          <w:rtl/>
        </w:rPr>
        <w:t>כמו כן</w:t>
      </w:r>
      <w:r w:rsidR="000B7372">
        <w:rPr>
          <w:rFonts w:hint="cs"/>
          <w:rtl/>
        </w:rPr>
        <w:t>,</w:t>
      </w:r>
      <w:r>
        <w:rPr>
          <w:rFonts w:hint="cs"/>
          <w:rtl/>
        </w:rPr>
        <w:t xml:space="preserve"> מוצע להחמיר את הענישה בגין אי מניעת עישון, אי קביעת שלטים והצבת מאפרות לפי סעיף 61(א)(4) לחוק העונשין, מכיוון שישנם לא מעט עסקים בעלי מחזור גבוה, שהקנס לפי סעיף 61(א)(3) לחוק העונשין לא מספיק מרתיע עבורם, והם מוכנים לשלם את הקנס ולהמשיך לא למנוע עישון בשטח המקומות שבהחזקתם.</w:t>
      </w:r>
    </w:p>
    <w:p w14:paraId="29FEAE69" w14:textId="58400BD4" w:rsidR="00140569" w:rsidRDefault="00140569" w:rsidP="00D53ECC">
      <w:pPr>
        <w:pStyle w:val="Hesber"/>
        <w:spacing w:line="240" w:lineRule="auto"/>
        <w:rPr>
          <w:rtl/>
        </w:rPr>
      </w:pPr>
      <w:r>
        <w:rPr>
          <w:rFonts w:hint="cs"/>
          <w:rtl/>
        </w:rPr>
        <w:t xml:space="preserve">נוסף </w:t>
      </w:r>
      <w:r w:rsidR="000B7372">
        <w:rPr>
          <w:rFonts w:hint="cs"/>
          <w:rtl/>
        </w:rPr>
        <w:t xml:space="preserve">על כך, </w:t>
      </w:r>
      <w:r>
        <w:rPr>
          <w:rFonts w:hint="cs"/>
          <w:rtl/>
        </w:rPr>
        <w:t>מוצע כי תהיה החמרה בענישה על עבירות שנעברות בפעם השנייה והשלישית, כדי להרתיע את אלו שלא הורתעו מגובה הקנס בעבירה בפעם הראשונה.</w:t>
      </w:r>
    </w:p>
    <w:p w14:paraId="2A75C385" w14:textId="16F546D5" w:rsidR="00140569" w:rsidRDefault="00140569" w:rsidP="00D53ECC">
      <w:pPr>
        <w:pStyle w:val="Hesber"/>
        <w:spacing w:line="240" w:lineRule="auto"/>
        <w:rPr>
          <w:rtl/>
        </w:rPr>
      </w:pPr>
      <w:r>
        <w:rPr>
          <w:rFonts w:hint="cs"/>
          <w:rtl/>
        </w:rPr>
        <w:t xml:space="preserve">ולבסוף – מוצע כי עבירה על הוראות סעיפים 2, 2א ו-2ב לחוק זה תהיה מסוג אחריות קפידה, </w:t>
      </w:r>
      <w:r w:rsidR="000B7372">
        <w:rPr>
          <w:rFonts w:hint="cs"/>
          <w:rtl/>
        </w:rPr>
        <w:t>כלומר</w:t>
      </w:r>
      <w:r>
        <w:rPr>
          <w:rFonts w:hint="cs"/>
          <w:rtl/>
        </w:rPr>
        <w:t xml:space="preserve"> – די בהוכחת קיום היסוד העובדתי של העבירה, למעשה כמו בעבירות על חוק שמירת הניקיון.</w:t>
      </w:r>
    </w:p>
    <w:p w14:paraId="02DA82D6" w14:textId="77777777" w:rsidR="00140569" w:rsidRDefault="00140569" w:rsidP="00D53ECC">
      <w:pPr>
        <w:pStyle w:val="Hesber"/>
        <w:spacing w:line="240" w:lineRule="auto"/>
        <w:rPr>
          <w:rtl/>
        </w:rPr>
      </w:pPr>
      <w:r>
        <w:rPr>
          <w:rFonts w:hint="cs"/>
          <w:b/>
          <w:bCs/>
          <w:rtl/>
        </w:rPr>
        <w:t xml:space="preserve">סעיף 8 </w:t>
      </w:r>
      <w:r>
        <w:rPr>
          <w:rFonts w:hint="cs"/>
          <w:rtl/>
        </w:rPr>
        <w:t>מוצע כי אדם (לרבות מחזיק של מקום ציבורי ונושא משרה בתאגיד שהוא המחזיק של מקום ציבורי) שעובר על הוראות החוק באופן סדרתי (אדם שהורשע בפעם השלישית בתוך שנתיים) – לא יקבל דו"ח ברירת משפט, אלא יוגש נגדו כתב אישום ותימסר לו הזמנה למשפט לפי חוק סדר הדין הפלילי.</w:t>
      </w:r>
    </w:p>
    <w:p w14:paraId="13DA0417" w14:textId="77777777" w:rsidR="00140569" w:rsidRDefault="00140569" w:rsidP="00D53ECC">
      <w:pPr>
        <w:pStyle w:val="Hesber"/>
        <w:spacing w:line="240" w:lineRule="auto"/>
        <w:rPr>
          <w:rtl/>
        </w:rPr>
      </w:pPr>
      <w:r>
        <w:rPr>
          <w:rFonts w:hint="cs"/>
          <w:rtl/>
        </w:rPr>
        <w:t>עוד מוצע לאפשר למספר גורמים לצוות על הפסקה ארעית של עיסוק בעסק, במידה ויש יסוד סביר להניח שנעברה בעסק עבירה לפי סעיף 2א לחוק.</w:t>
      </w:r>
    </w:p>
    <w:p w14:paraId="2DDBB09D" w14:textId="5AAB091B" w:rsidR="00140569" w:rsidRDefault="00140569" w:rsidP="00D53ECC">
      <w:pPr>
        <w:pStyle w:val="Hesber"/>
        <w:spacing w:line="240" w:lineRule="auto"/>
        <w:rPr>
          <w:rtl/>
        </w:rPr>
      </w:pPr>
      <w:r>
        <w:rPr>
          <w:rFonts w:hint="cs"/>
          <w:rtl/>
        </w:rPr>
        <w:t xml:space="preserve">בסעיף 4ג מוצע כי בפעם השלישית </w:t>
      </w:r>
      <w:r w:rsidR="000B7372">
        <w:rPr>
          <w:rFonts w:hint="cs"/>
          <w:rtl/>
        </w:rPr>
        <w:t>ש</w:t>
      </w:r>
      <w:r>
        <w:rPr>
          <w:rFonts w:hint="cs"/>
          <w:rtl/>
        </w:rPr>
        <w:t>בה הורשע מחזיק של מקום ציבורי בעבירה לפי סעיף 2א בתוך שנתיים, רשאי יהיה בית המשפט לצוות על הפסקת העיסוק בעסק (לגבי בתי אוכל, אולמות אירועים, גני אירועים וחנויות) לצמיתות או לתקופה.</w:t>
      </w:r>
    </w:p>
    <w:p w14:paraId="601341BD" w14:textId="6E8945B2" w:rsidR="00140569" w:rsidRDefault="00140569" w:rsidP="00D53ECC">
      <w:pPr>
        <w:pStyle w:val="Hesber"/>
        <w:spacing w:line="240" w:lineRule="auto"/>
        <w:rPr>
          <w:rtl/>
        </w:rPr>
      </w:pPr>
      <w:r>
        <w:rPr>
          <w:rFonts w:hint="cs"/>
          <w:b/>
          <w:bCs/>
          <w:rtl/>
        </w:rPr>
        <w:t>סעיף 11</w:t>
      </w:r>
      <w:r>
        <w:rPr>
          <w:rFonts w:hint="cs"/>
          <w:rtl/>
        </w:rPr>
        <w:t xml:space="preserve"> מוצע להוסיף את סעיפים 6ב ו</w:t>
      </w:r>
      <w:r w:rsidR="000B7372">
        <w:rPr>
          <w:rFonts w:hint="cs"/>
          <w:rtl/>
        </w:rPr>
        <w:t>-</w:t>
      </w:r>
      <w:r>
        <w:rPr>
          <w:rFonts w:hint="cs"/>
          <w:rtl/>
        </w:rPr>
        <w:t>6ג.</w:t>
      </w:r>
    </w:p>
    <w:p w14:paraId="5DCDCD2B" w14:textId="77777777" w:rsidR="00140569" w:rsidRDefault="00140569" w:rsidP="00D53ECC">
      <w:pPr>
        <w:pStyle w:val="Hesber"/>
        <w:spacing w:line="240" w:lineRule="auto"/>
        <w:rPr>
          <w:rtl/>
        </w:rPr>
      </w:pPr>
      <w:r>
        <w:rPr>
          <w:rFonts w:hint="cs"/>
          <w:rtl/>
        </w:rPr>
        <w:t>מהמעקב והבקרה הרציפים של משרד הבריאות אחר פעילות האכיפה של החוק על ידי הרשויות המקומיות, משרד הבריאות הגיע למסקנה כי לא ניתן להסתמך רק על הרשויות המקומיות לצורך כך. לכן, מוצע כי יינתנו סמכויות פיקוח על הוראות החוק גם לעובדי מדינה שיוסמכו על ידי שר הבריאות.</w:t>
      </w:r>
    </w:p>
    <w:p w14:paraId="3B44DED6" w14:textId="77777777" w:rsidR="00140569" w:rsidRDefault="00140569" w:rsidP="00D53ECC">
      <w:pPr>
        <w:pStyle w:val="Hesber"/>
        <w:spacing w:line="240" w:lineRule="auto"/>
        <w:rPr>
          <w:rtl/>
        </w:rPr>
      </w:pPr>
      <w:r>
        <w:rPr>
          <w:rFonts w:hint="cs"/>
          <w:rtl/>
        </w:rPr>
        <w:t>מוצע לאפשר לשר הבריאות להסמיך מפקחים שיפקחו על ביצוע ההוראות לפי חוק זה. הסעיף מגדיר את התנאים שבהם יוסמכו המפקחים, ובכלל זה תנאי כשירות והכשרה מתאימה.</w:t>
      </w:r>
    </w:p>
    <w:p w14:paraId="5C258704" w14:textId="77777777" w:rsidR="00140569" w:rsidRDefault="00140569" w:rsidP="00D53ECC">
      <w:pPr>
        <w:pStyle w:val="Hesber"/>
        <w:spacing w:line="240" w:lineRule="auto"/>
        <w:rPr>
          <w:rtl/>
        </w:rPr>
      </w:pPr>
      <w:r>
        <w:rPr>
          <w:rFonts w:hint="cs"/>
          <w:rtl/>
        </w:rPr>
        <w:t>כמו כן מוצע כי משרד הבריאות יקים מערך נאמני מניעת עישון במתכונת דומה לזו של מערך נאמני הניקיון של המשרד להגנת הסביבה.</w:t>
      </w:r>
    </w:p>
    <w:p w14:paraId="26B9850A" w14:textId="77777777" w:rsidR="00140569" w:rsidRDefault="00D9482E" w:rsidP="00D53ECC">
      <w:pPr>
        <w:pStyle w:val="Hesber"/>
        <w:spacing w:line="240" w:lineRule="auto"/>
        <w:rPr>
          <w:rtl/>
        </w:rPr>
      </w:pPr>
      <w:hyperlink r:id="rId11" w:history="1">
        <w:r w:rsidR="00140569" w:rsidRPr="000B7372">
          <w:rPr>
            <w:rStyle w:val="Hyperlink"/>
            <w:rFonts w:hint="cs"/>
            <w:color w:val="auto"/>
            <w:u w:val="none"/>
            <w:rtl/>
          </w:rPr>
          <w:t>נאמני ניקיון</w:t>
        </w:r>
      </w:hyperlink>
      <w:r w:rsidR="00140569">
        <w:rPr>
          <w:rFonts w:hint="cs"/>
          <w:rtl/>
        </w:rPr>
        <w:t xml:space="preserve"> הם אזרחים שמתנדבים לאכוף את חוק שמירת הניקיון, ועוברים הסמכה חד פעמית שלאחריה הם יכולים לדווח למשרד להגנת הסביבה על עבירות על חוק שמירת הניקיון.</w:t>
      </w:r>
    </w:p>
    <w:p w14:paraId="36318948" w14:textId="77777777" w:rsidR="00140569" w:rsidRDefault="00140569" w:rsidP="00D53ECC">
      <w:pPr>
        <w:pStyle w:val="Hesber"/>
        <w:spacing w:line="240" w:lineRule="auto"/>
        <w:rPr>
          <w:rtl/>
        </w:rPr>
      </w:pPr>
      <w:r>
        <w:rPr>
          <w:rFonts w:hint="cs"/>
          <w:rtl/>
        </w:rPr>
        <w:t>לנאמני ניקיון יש סמכות לדרוש מכל אדם שמשליך פסולת ברשות הרבים להזדהות בפניהם, והם בדרך כלל מדווחים למשרד להגנת הסביבה על אנשים שמשליכים פסולת מרכב, על ידי רישום מספר הרכב, דגמו וצבעו.</w:t>
      </w:r>
    </w:p>
    <w:p w14:paraId="256C4EEC" w14:textId="3D9EB9EA" w:rsidR="00140569" w:rsidRDefault="00140569" w:rsidP="00D53ECC">
      <w:pPr>
        <w:pStyle w:val="Hesber"/>
        <w:spacing w:line="240" w:lineRule="auto"/>
        <w:rPr>
          <w:rtl/>
        </w:rPr>
      </w:pPr>
      <w:r>
        <w:rPr>
          <w:rFonts w:hint="cs"/>
          <w:rtl/>
        </w:rPr>
        <w:t xml:space="preserve">המשרד להגנת הסביבה מברר את זהות בעלי הרכב ושולח אליו דוח ברירת משפט (הודעת תשלום קנס), כאשר בעל הרכב יכול לשלם את הקנס ובכך להודות בעבירה, או לכפור בעבירה המיוחסת לו ולבקש </w:t>
      </w:r>
      <w:proofErr w:type="spellStart"/>
      <w:r>
        <w:rPr>
          <w:rFonts w:hint="cs"/>
          <w:rtl/>
        </w:rPr>
        <w:t>להשפט</w:t>
      </w:r>
      <w:proofErr w:type="spellEnd"/>
      <w:r>
        <w:rPr>
          <w:rFonts w:hint="cs"/>
          <w:rtl/>
        </w:rPr>
        <w:t>. במקרה כזה – המשרד להגנת הסביבה מגיש כתב אישום נגד בעל הרכב ומייצג את המדינה בבית המשפט, ונאמן הניקיון שדיווח עליו מזומן לבית המשפט על מנת להעיד כעד תביעה.</w:t>
      </w:r>
    </w:p>
    <w:p w14:paraId="471C7D50" w14:textId="77777777" w:rsidR="00140569" w:rsidRDefault="00140569" w:rsidP="00D53ECC">
      <w:pPr>
        <w:pStyle w:val="Hesber"/>
        <w:spacing w:line="240" w:lineRule="auto"/>
        <w:rPr>
          <w:rtl/>
        </w:rPr>
      </w:pPr>
      <w:r>
        <w:rPr>
          <w:rFonts w:hint="cs"/>
          <w:rtl/>
        </w:rPr>
        <w:t xml:space="preserve">דבר דומה מוצע גם לגבי נאמני מניעת עישון ומשרד הבריאות. </w:t>
      </w:r>
    </w:p>
    <w:p w14:paraId="2B004E24" w14:textId="77777777" w:rsidR="00140569" w:rsidRDefault="00140569" w:rsidP="00D53ECC">
      <w:pPr>
        <w:pStyle w:val="Hesber"/>
        <w:spacing w:line="240" w:lineRule="auto"/>
        <w:rPr>
          <w:rtl/>
        </w:rPr>
      </w:pPr>
      <w:r>
        <w:rPr>
          <w:rFonts w:hint="cs"/>
          <w:rtl/>
        </w:rPr>
        <w:t>אזרחים שמעוניינים להתנדב למערך נאמני מניעת העישון יוכלו להגיש בקשה למשרד הבריאות, הם יקבלו זימון להסמכה, שלאחריה יוכנסו למאגר מידע כנאמני מניעת עישון, יקבלו תעודות נאמן מניעת עישון ויוכלו לסייע באכיפת החוק למניעת עישון במקומות ציבוריים.</w:t>
      </w:r>
    </w:p>
    <w:p w14:paraId="45C27A05" w14:textId="77777777" w:rsidR="00140569" w:rsidRDefault="00140569" w:rsidP="00D53ECC">
      <w:pPr>
        <w:pStyle w:val="Hesber"/>
        <w:spacing w:line="240" w:lineRule="auto"/>
        <w:rPr>
          <w:rtl/>
        </w:rPr>
      </w:pPr>
      <w:r>
        <w:rPr>
          <w:rFonts w:hint="cs"/>
          <w:rtl/>
        </w:rPr>
        <w:t>כאשר הם שוהים במקום ציבורי שמעשנים בו, הם יוכלו להעביר דיווח של פרטי המקום ופרטי האירוע למשרד הבריאות.</w:t>
      </w:r>
    </w:p>
    <w:p w14:paraId="50CFDB78" w14:textId="77777777" w:rsidR="00140569" w:rsidRDefault="00140569" w:rsidP="00D53ECC">
      <w:pPr>
        <w:pStyle w:val="Hesber"/>
        <w:spacing w:line="240" w:lineRule="auto"/>
        <w:rPr>
          <w:rtl/>
        </w:rPr>
      </w:pPr>
      <w:r>
        <w:rPr>
          <w:rFonts w:hint="cs"/>
          <w:rtl/>
        </w:rPr>
        <w:t>לשם דיווח למשרד הבריאות – יוקמו אתר ואפליקציה של טופס תלונה דיגיטלי.</w:t>
      </w:r>
    </w:p>
    <w:p w14:paraId="512379A3" w14:textId="0D4F0879" w:rsidR="00140569" w:rsidRDefault="00140569" w:rsidP="00D53ECC">
      <w:pPr>
        <w:pStyle w:val="Hesber"/>
        <w:spacing w:line="240" w:lineRule="auto"/>
        <w:rPr>
          <w:rtl/>
        </w:rPr>
      </w:pPr>
      <w:r>
        <w:rPr>
          <w:rFonts w:hint="cs"/>
          <w:rtl/>
        </w:rPr>
        <w:t>משרד הבריאות יוציא דוח ברירת משפט (הודעת תשלום קנס) בגין אי מניעת עישון, הצבת מאפרות, חוסר שילוט או שילוט לא תקני לאותו מקום ציבורי וגם לנושא משרה בתאגיד שהוא המחזיק של מקום ציבורי, על סמך הדיווח שהועבר למשרד הבריאות.</w:t>
      </w:r>
    </w:p>
    <w:p w14:paraId="58FE4365" w14:textId="77777777" w:rsidR="00140569" w:rsidRDefault="00140569" w:rsidP="00D53ECC">
      <w:pPr>
        <w:pStyle w:val="Hesber"/>
        <w:spacing w:line="240" w:lineRule="auto"/>
        <w:rPr>
          <w:rtl/>
        </w:rPr>
      </w:pPr>
      <w:r>
        <w:rPr>
          <w:rFonts w:hint="cs"/>
          <w:rtl/>
        </w:rPr>
        <w:t>בעלי המקומות הציבוריים ונושאי המשרה יוכלו לשלם את הקנס, ובכך להודות בביצוע העבירה.</w:t>
      </w:r>
    </w:p>
    <w:p w14:paraId="2D6C6A16" w14:textId="2C04C1DB" w:rsidR="00140569" w:rsidRDefault="00140569" w:rsidP="00D53ECC">
      <w:pPr>
        <w:pStyle w:val="Hesber"/>
        <w:spacing w:line="240" w:lineRule="auto"/>
        <w:rPr>
          <w:rtl/>
        </w:rPr>
      </w:pPr>
      <w:r>
        <w:rPr>
          <w:rFonts w:hint="cs"/>
          <w:rtl/>
        </w:rPr>
        <w:t>לחלופין, הם יוכלו לבקש להישפט, ובמקרה זה – משרד הבריאות יגיש כתב אישום נגד המקומות ונגד נושאי המשרה, ינוהל נגדם משפט, ונאמן מניעת העישון יזומן לבית המשפט ע"מ להעיד כעד תביעה מטעם משרד הבריאות.</w:t>
      </w:r>
    </w:p>
    <w:p w14:paraId="332E9327" w14:textId="77777777" w:rsidR="00140569" w:rsidRDefault="00140569" w:rsidP="00D53ECC">
      <w:pPr>
        <w:pStyle w:val="Hesber"/>
        <w:spacing w:line="240" w:lineRule="auto"/>
        <w:rPr>
          <w:rtl/>
        </w:rPr>
      </w:pPr>
      <w:r>
        <w:rPr>
          <w:rFonts w:hint="cs"/>
          <w:rtl/>
        </w:rPr>
        <w:t>כמובן שבהתאם לסעיף 4א לתיקון המוצע – הפרה לכאורה בפעם השלישית תגרור הזמנה למשפט במקום קנס ברירת משפט.</w:t>
      </w:r>
    </w:p>
    <w:p w14:paraId="1CD00BBF" w14:textId="4D8DB55E" w:rsidR="00140569" w:rsidRDefault="00140569" w:rsidP="00D53ECC">
      <w:pPr>
        <w:pStyle w:val="Hesber"/>
        <w:spacing w:line="240" w:lineRule="auto"/>
        <w:rPr>
          <w:rtl/>
        </w:rPr>
      </w:pPr>
      <w:r>
        <w:rPr>
          <w:rFonts w:hint="cs"/>
          <w:rtl/>
        </w:rPr>
        <w:t>יצוין כי לא יהיה מגע בין נאמן מניעת עישון לבין מעשנים, אלא אם נאמן מניעת העישון יבחר לעשות כן. ובדומה לנאמני ניקיון – פרטי נאמן מניעת העישון לא יימסרו לבעל העסק עליו דיווח נאמן מניעת העישון.</w:t>
      </w:r>
    </w:p>
    <w:p w14:paraId="745F6A49" w14:textId="77777777" w:rsidR="00140569" w:rsidRDefault="00140569" w:rsidP="00D53ECC">
      <w:pPr>
        <w:pStyle w:val="Hesber"/>
        <w:spacing w:line="240" w:lineRule="auto"/>
        <w:rPr>
          <w:rtl/>
        </w:rPr>
      </w:pPr>
      <w:r>
        <w:rPr>
          <w:rFonts w:hint="cs"/>
          <w:rtl/>
        </w:rPr>
        <w:lastRenderedPageBreak/>
        <w:t>להקמת מערך נאמני מניעת עישון יתרונות רבים.</w:t>
      </w:r>
    </w:p>
    <w:p w14:paraId="0B7D72CD" w14:textId="77777777" w:rsidR="00140569" w:rsidRDefault="00140569" w:rsidP="00D53ECC">
      <w:pPr>
        <w:pStyle w:val="Hesber"/>
        <w:spacing w:line="240" w:lineRule="auto"/>
        <w:rPr>
          <w:rtl/>
        </w:rPr>
      </w:pPr>
      <w:r>
        <w:rPr>
          <w:rFonts w:hint="cs"/>
          <w:rtl/>
        </w:rPr>
        <w:t>ראשית, מתן כוח לאזרחים לאכוף את החוק במקום גרירת הרגליים של המשטרה והרשויות המקומיות באכיפת חוק זה.</w:t>
      </w:r>
    </w:p>
    <w:p w14:paraId="66A9D4BF" w14:textId="77777777" w:rsidR="00140569" w:rsidRDefault="00140569" w:rsidP="00D53ECC">
      <w:pPr>
        <w:pStyle w:val="Hesber"/>
        <w:spacing w:line="240" w:lineRule="auto"/>
      </w:pPr>
      <w:r>
        <w:rPr>
          <w:rFonts w:hint="cs"/>
          <w:rtl/>
        </w:rPr>
        <w:t xml:space="preserve">כיום קיים המנגנון של "אכיפה אזרחית" (מושג שנטבע על ידי שופט בית המשפט העליון, אליקים רובינשטיין, בפסק הדין שמש נ' </w:t>
      </w:r>
      <w:proofErr w:type="spellStart"/>
      <w:r>
        <w:rPr>
          <w:rFonts w:hint="cs"/>
          <w:rtl/>
        </w:rPr>
        <w:t>פוקצ'טה</w:t>
      </w:r>
      <w:proofErr w:type="spellEnd"/>
      <w:r>
        <w:rPr>
          <w:rFonts w:hint="cs"/>
          <w:rtl/>
        </w:rPr>
        <w:t xml:space="preserve"> שהוזכר לעיל) שבמסגרתו אזרחים מגישים תביעות נזיקין אזרחיות בגין אי מניעת עישון במקומות ציבוריים, ולוקחים על עצמם עול וסיכון בגין הגשת התביעות (ניהול התביעה, מימון התביעה, החזר הוצאות משפט במקרה של הפסד וכיוצא בזה).</w:t>
      </w:r>
    </w:p>
    <w:p w14:paraId="1C539F05" w14:textId="77777777" w:rsidR="00140569" w:rsidRDefault="00140569" w:rsidP="00D53ECC">
      <w:pPr>
        <w:pStyle w:val="Hesber"/>
        <w:spacing w:line="240" w:lineRule="auto"/>
        <w:rPr>
          <w:rtl/>
        </w:rPr>
      </w:pPr>
      <w:r>
        <w:rPr>
          <w:rFonts w:hint="cs"/>
          <w:rtl/>
        </w:rPr>
        <w:t>מן הראוי כי האכיפה האזרחית תבוצע אמנם על ידי אזרחים, אולם המדינה תיקח איתם חלק בפעולת האכיפה האזרחית ותחסוך לאותם אזרחים את העול והסיכון שבניהול תביעה.</w:t>
      </w:r>
    </w:p>
    <w:p w14:paraId="4F08516A" w14:textId="5073A393" w:rsidR="00140569" w:rsidRDefault="00140569" w:rsidP="00D53ECC">
      <w:pPr>
        <w:pStyle w:val="Hesber"/>
        <w:spacing w:line="240" w:lineRule="auto"/>
        <w:rPr>
          <w:rtl/>
        </w:rPr>
      </w:pPr>
      <w:r>
        <w:rPr>
          <w:rFonts w:hint="cs"/>
          <w:rtl/>
        </w:rPr>
        <w:t>שנית, מתן מענה ל"התחכמויות" של בעלי מקומות שמזהים מפקחי רשויות מקומיות על פי המדים שלהם, מעכבים את המפקחים בכניסה, נותנים התראה למעשנים בדרכים שונות, מגוונות ויצירתיות ומאפשרים למפקחים להיכנס למקום רק לאחר שכל המעשנים כיבו את הסיגריות. כאשר המפקחים נכנסים למקום, הם אמנם מריחים את ריח העשן, אבל לא רואים מעשנים ולא יכולים לתת דוחות.</w:t>
      </w:r>
    </w:p>
    <w:p w14:paraId="0D283E1B" w14:textId="77777777" w:rsidR="00140569" w:rsidRDefault="00140569" w:rsidP="00D53ECC">
      <w:pPr>
        <w:pStyle w:val="Hesber"/>
        <w:spacing w:line="240" w:lineRule="auto"/>
        <w:rPr>
          <w:rtl/>
        </w:rPr>
      </w:pPr>
      <w:r>
        <w:rPr>
          <w:rFonts w:hint="cs"/>
          <w:rtl/>
        </w:rPr>
        <w:t>אם וכאשר יפעלו נאמני מניעת עישון, הם יהיו אזרחים רגילים, בבגדים אזרחיים, ולכן לא יזוהו על ידי בעלי המקומות, וההתחכמויות של בעלי המקומות לא תהיינה יעילות.</w:t>
      </w:r>
    </w:p>
    <w:p w14:paraId="5BE3492E" w14:textId="77777777" w:rsidR="00140569" w:rsidRDefault="00140569" w:rsidP="00D53ECC">
      <w:pPr>
        <w:pStyle w:val="Hesber"/>
        <w:spacing w:line="240" w:lineRule="auto"/>
        <w:rPr>
          <w:rtl/>
        </w:rPr>
      </w:pPr>
      <w:r>
        <w:rPr>
          <w:rFonts w:hint="cs"/>
          <w:rtl/>
        </w:rPr>
        <w:t>הנאמנים יהיו למעשה מעין מפקחים סמויים.</w:t>
      </w:r>
    </w:p>
    <w:p w14:paraId="397B4C78" w14:textId="77777777" w:rsidR="00140569" w:rsidRDefault="00140569" w:rsidP="00D53ECC">
      <w:pPr>
        <w:pStyle w:val="Hesber"/>
        <w:spacing w:line="240" w:lineRule="auto"/>
        <w:rPr>
          <w:rtl/>
        </w:rPr>
      </w:pPr>
      <w:r>
        <w:rPr>
          <w:rFonts w:hint="cs"/>
          <w:rtl/>
        </w:rPr>
        <w:t>לבסוף, מספר נאמנים גדול בפרישה רחבה בכל רחבי הארץ, שיוכלו לתת מענה יעיל, בסיוע משרד הבריאות, להפרות החוק, ובדרך זולה מכל דרך אחרת. הנאמנים יהוו מכפיל כוח ומנוף לאכיפת החוק.</w:t>
      </w:r>
    </w:p>
    <w:p w14:paraId="4A315A81" w14:textId="7F5722BA" w:rsidR="00140569" w:rsidRDefault="00140569" w:rsidP="00D53ECC">
      <w:pPr>
        <w:pStyle w:val="Hesber"/>
        <w:spacing w:line="240" w:lineRule="auto"/>
        <w:rPr>
          <w:rtl/>
        </w:rPr>
      </w:pPr>
      <w:r>
        <w:rPr>
          <w:rFonts w:hint="cs"/>
          <w:b/>
          <w:bCs/>
          <w:rtl/>
        </w:rPr>
        <w:t>סעיף 13</w:t>
      </w:r>
      <w:r>
        <w:rPr>
          <w:rFonts w:hint="cs"/>
          <w:rtl/>
        </w:rPr>
        <w:t xml:space="preserve"> מוצע לקבוע מחדש את סמכויותיהם של שוטרים ומפקחים הכוללות, בנוסף לסמכות הכניסה הקיימת כיום, גם סמכות לדרוש מאדם להזדהות או למסור ידיעות או מסמכים, לערוך בדיקות או מדידות וליטול דוגמאות לשם בדיקה, וכן סמכות למסירת דוח ברירת משפט (הודעת תשלום קנס) או הזמנה למשפט (בעבירה בפעם השלישית ואילך).</w:t>
      </w:r>
    </w:p>
    <w:p w14:paraId="6269E891" w14:textId="56EF638A" w:rsidR="00140569" w:rsidRDefault="00140569" w:rsidP="00D53ECC">
      <w:pPr>
        <w:pStyle w:val="Hesber"/>
        <w:spacing w:line="240" w:lineRule="auto"/>
        <w:rPr>
          <w:rtl/>
        </w:rPr>
      </w:pPr>
      <w:r>
        <w:rPr>
          <w:rFonts w:hint="cs"/>
          <w:rtl/>
        </w:rPr>
        <w:t>מוצע להעביר את הסמכות לעיכוב אדם שנחשד בעבירה על חוק זה על ידי מפקח במשך שעה מסעיף 8 לחוק הקיים כיום לסעיף הסמכויות של שוטר ומפקח.</w:t>
      </w:r>
    </w:p>
    <w:p w14:paraId="140BFD7C" w14:textId="049D3F7E" w:rsidR="00140569" w:rsidRDefault="00140569" w:rsidP="00D53ECC">
      <w:pPr>
        <w:pStyle w:val="Hesber"/>
        <w:spacing w:line="240" w:lineRule="auto"/>
        <w:rPr>
          <w:rtl/>
        </w:rPr>
      </w:pPr>
      <w:r>
        <w:rPr>
          <w:rFonts w:hint="cs"/>
          <w:rtl/>
        </w:rPr>
        <w:t>מאחר שידועה הפרקטיקה של בעלי מקומות, בעיקר מקומות בילוי, לעכב מפקחים בכניסה, להתריע בפני המעשנים על הגעת מפקחים כדי שיכבו את הסיגריות (אך ורק עקב הגעת המפקחים ועד לעזיבתם), מוצע לקבוע כי עיכוב מפקחים ושוטרים בכניסה למקומות ציבוריים או מתן התרעה למעשנים על הגעת מפקחים למקום הינם עבירה פלילית לפי סעיף 288א לחוק העונשין</w:t>
      </w:r>
      <w:r w:rsidR="00FD0C59">
        <w:rPr>
          <w:rFonts w:hint="cs"/>
          <w:rtl/>
        </w:rPr>
        <w:t>,</w:t>
      </w:r>
      <w:r>
        <w:rPr>
          <w:rFonts w:hint="cs"/>
          <w:rtl/>
        </w:rPr>
        <w:t xml:space="preserve"> </w:t>
      </w:r>
      <w:proofErr w:type="spellStart"/>
      <w:r>
        <w:rPr>
          <w:rFonts w:hint="cs"/>
          <w:rtl/>
        </w:rPr>
        <w:t>התשל"ז</w:t>
      </w:r>
      <w:proofErr w:type="spellEnd"/>
      <w:r>
        <w:rPr>
          <w:rFonts w:hint="cs"/>
          <w:rtl/>
        </w:rPr>
        <w:t xml:space="preserve">–1977 </w:t>
      </w:r>
      <w:r w:rsidR="00FD0C59">
        <w:rPr>
          <w:rFonts w:hint="eastAsia"/>
          <w:rtl/>
        </w:rPr>
        <w:t>–</w:t>
      </w:r>
      <w:r>
        <w:rPr>
          <w:rFonts w:hint="cs"/>
          <w:rtl/>
        </w:rPr>
        <w:t xml:space="preserve"> הפרעה לעובד ציבור.</w:t>
      </w:r>
    </w:p>
    <w:p w14:paraId="2B084CB9" w14:textId="1F997C5F" w:rsidR="00140569" w:rsidRDefault="00140569" w:rsidP="00D53ECC">
      <w:pPr>
        <w:pStyle w:val="Hesber"/>
        <w:spacing w:line="240" w:lineRule="auto"/>
        <w:rPr>
          <w:rtl/>
        </w:rPr>
      </w:pPr>
      <w:r>
        <w:rPr>
          <w:rFonts w:hint="cs"/>
          <w:rtl/>
        </w:rPr>
        <w:t>כמו כן</w:t>
      </w:r>
      <w:r w:rsidR="00FD0C59">
        <w:rPr>
          <w:rFonts w:hint="cs"/>
          <w:rtl/>
        </w:rPr>
        <w:t>,</w:t>
      </w:r>
      <w:r>
        <w:rPr>
          <w:rFonts w:hint="cs"/>
          <w:rtl/>
        </w:rPr>
        <w:t xml:space="preserve"> מאותו נימוק של עיכוב מפקחים או שוטרים ומתן התרעה למעשנים מוצע לאפשר למפקחים ושוטרים להיכנס למקום ציבורי גם אם אינם לובשים מדים, בלבוש אזרחי, על מנת לבדוק את הפרת החוק, וזאת מבלי להיות מזוהים כמפקחים או שוטרים ולמנוע את ההפרעה של בעלי המקומות לפעולת האכיפה.</w:t>
      </w:r>
    </w:p>
    <w:p w14:paraId="78742467" w14:textId="71D8642A" w:rsidR="00140569" w:rsidRDefault="00140569" w:rsidP="00D53ECC">
      <w:pPr>
        <w:pStyle w:val="Hesber"/>
        <w:spacing w:line="240" w:lineRule="auto"/>
        <w:rPr>
          <w:rtl/>
        </w:rPr>
      </w:pPr>
      <w:r>
        <w:rPr>
          <w:rFonts w:hint="cs"/>
          <w:b/>
          <w:bCs/>
          <w:rtl/>
        </w:rPr>
        <w:t xml:space="preserve">סעיף 16 </w:t>
      </w:r>
      <w:r>
        <w:rPr>
          <w:rFonts w:hint="cs"/>
          <w:rtl/>
        </w:rPr>
        <w:t>התיקון המוצע בנוסח נדרש בשל הוספת ההגדרה "מוצר עישון" הכוללת מוצרי טבק ומוצרים נוספים כמפורט בסעיף 1 לתיקון המוצע.</w:t>
      </w:r>
    </w:p>
    <w:p w14:paraId="1AA58366" w14:textId="77777777" w:rsidR="00140569" w:rsidRDefault="00140569" w:rsidP="00D53ECC">
      <w:pPr>
        <w:pStyle w:val="Hesber"/>
        <w:spacing w:line="240" w:lineRule="auto"/>
        <w:rPr>
          <w:rtl/>
        </w:rPr>
      </w:pPr>
      <w:r>
        <w:rPr>
          <w:rFonts w:hint="cs"/>
          <w:b/>
          <w:bCs/>
          <w:rtl/>
        </w:rPr>
        <w:t>סעיף 17</w:t>
      </w:r>
      <w:r>
        <w:rPr>
          <w:rFonts w:hint="cs"/>
          <w:rtl/>
        </w:rPr>
        <w:t xml:space="preserve"> מוצע לקבוע כי אין בהוראות הפרטים בתוספת כדי לגרוע מאיסור עישון מכוח כל דין או כדי למנוע מהמחזיק של מקום ציבורי לאסור את העישון במקום, אף אם סוג המקום לא </w:t>
      </w:r>
      <w:proofErr w:type="spellStart"/>
      <w:r>
        <w:rPr>
          <w:rFonts w:hint="cs"/>
          <w:rtl/>
        </w:rPr>
        <w:t>צויין</w:t>
      </w:r>
      <w:proofErr w:type="spellEnd"/>
      <w:r>
        <w:rPr>
          <w:rFonts w:hint="cs"/>
          <w:rtl/>
        </w:rPr>
        <w:t xml:space="preserve"> בתוספת.</w:t>
      </w:r>
    </w:p>
    <w:p w14:paraId="5AAE9CD2" w14:textId="1BFBF71D" w:rsidR="00140569" w:rsidRDefault="00140569" w:rsidP="00D53ECC">
      <w:pPr>
        <w:pStyle w:val="Hesber"/>
        <w:spacing w:line="240" w:lineRule="auto"/>
        <w:rPr>
          <w:rtl/>
        </w:rPr>
      </w:pPr>
      <w:r>
        <w:rPr>
          <w:rFonts w:hint="cs"/>
          <w:b/>
          <w:bCs/>
          <w:rtl/>
        </w:rPr>
        <w:t>סעיף 18</w:t>
      </w:r>
      <w:r>
        <w:rPr>
          <w:rFonts w:hint="cs"/>
          <w:rtl/>
        </w:rPr>
        <w:t xml:space="preserve"> מוצע לתקן את התוספת לחוק באופן הבא </w:t>
      </w:r>
      <w:r w:rsidR="00FD0C59">
        <w:rPr>
          <w:rFonts w:hint="eastAsia"/>
          <w:rtl/>
        </w:rPr>
        <w:t>–</w:t>
      </w:r>
      <w:r>
        <w:rPr>
          <w:rFonts w:hint="cs"/>
          <w:rtl/>
        </w:rPr>
        <w:t xml:space="preserve"> </w:t>
      </w:r>
    </w:p>
    <w:p w14:paraId="77C30A0A" w14:textId="77777777" w:rsidR="00140569" w:rsidRDefault="00140569" w:rsidP="00D53ECC">
      <w:pPr>
        <w:pStyle w:val="Hesber"/>
        <w:spacing w:line="240" w:lineRule="auto"/>
        <w:rPr>
          <w:rtl/>
        </w:rPr>
      </w:pPr>
      <w:r>
        <w:rPr>
          <w:rFonts w:hint="cs"/>
          <w:rtl/>
        </w:rPr>
        <w:t>מוצע לבטל את האפשרות להקצאת חדרי עישון בבניינים של מקומות ציבוריים ואת אפשרות הקצאת אזורי עישון במקומות ציבוריים פתוחים.</w:t>
      </w:r>
    </w:p>
    <w:p w14:paraId="1065151A" w14:textId="77777777" w:rsidR="00140569" w:rsidRDefault="00140569" w:rsidP="00D53ECC">
      <w:pPr>
        <w:pStyle w:val="Hesber"/>
        <w:spacing w:line="240" w:lineRule="auto"/>
        <w:rPr>
          <w:rtl/>
        </w:rPr>
      </w:pPr>
      <w:r>
        <w:rPr>
          <w:rFonts w:hint="cs"/>
          <w:rtl/>
        </w:rPr>
        <w:t>כאשר קיימים חדרי עישון במקום ציבורי – נמדדים חומרי רעל בכמות העולה במידה רבה על המותר גם אצל מי שנמצא בחדר בו (כאילו) לא מעשנים.</w:t>
      </w:r>
    </w:p>
    <w:p w14:paraId="10E7367A" w14:textId="77777777" w:rsidR="00140569" w:rsidRDefault="00140569" w:rsidP="00D53ECC">
      <w:pPr>
        <w:pStyle w:val="Hesber"/>
        <w:spacing w:line="240" w:lineRule="auto"/>
        <w:rPr>
          <w:rtl/>
        </w:rPr>
      </w:pPr>
      <w:r>
        <w:rPr>
          <w:rFonts w:hint="cs"/>
          <w:rtl/>
        </w:rPr>
        <w:t>גם אם חדר העישון עומד לכאורה בדרישות החוק, לא ניתן למנוע את חדירת העשן מחדר העישון אל עבר המקום שבו אסור לעשן.</w:t>
      </w:r>
    </w:p>
    <w:p w14:paraId="1121AA5C" w14:textId="77777777" w:rsidR="00140569" w:rsidRDefault="00140569" w:rsidP="00D53ECC">
      <w:pPr>
        <w:pStyle w:val="Hesber"/>
        <w:spacing w:line="240" w:lineRule="auto"/>
        <w:rPr>
          <w:rtl/>
        </w:rPr>
      </w:pPr>
      <w:r>
        <w:rPr>
          <w:rFonts w:hint="cs"/>
          <w:rtl/>
        </w:rPr>
        <w:t>העשן חודר גם מבעד לדלת סגורה (מחריצי הדלת), וממילא הדלת נפתחת כאשר מעשנים נכנסים אל ויוצאים מחדר העישון, ואז בוודאי שהעשן יוצא מהחדר. העשן גם חודר דרך מערכת מיזוג האוויר, ואז בוודאי שהמושג "חדר עישון נפרד לחלוטין" הוא חסר משמעות.</w:t>
      </w:r>
    </w:p>
    <w:p w14:paraId="53913C33" w14:textId="77777777" w:rsidR="00140569" w:rsidRDefault="00140569" w:rsidP="00D53ECC">
      <w:pPr>
        <w:pStyle w:val="Hesber"/>
        <w:spacing w:line="240" w:lineRule="auto"/>
        <w:rPr>
          <w:rtl/>
        </w:rPr>
      </w:pPr>
      <w:r>
        <w:rPr>
          <w:rFonts w:hint="cs"/>
          <w:rtl/>
        </w:rPr>
        <w:t>ארגון הבריאות העולמי רואה את ישראל כמדינה שאיננה מקיימת את אמנת ה-</w:t>
      </w:r>
      <w:r>
        <w:t>FCTC</w:t>
      </w:r>
      <w:r>
        <w:rPr>
          <w:rFonts w:hint="cs"/>
          <w:rtl/>
        </w:rPr>
        <w:t xml:space="preserve">, משום שהיא מאפשרת את חדרי העישון האלה, בהפרה בוטה לכל האיסורים בעולם ב-10 השנים האחרונות. אין יותר חדרי עישון באיסורים מודרניים. </w:t>
      </w:r>
    </w:p>
    <w:p w14:paraId="05BF53E3" w14:textId="77777777" w:rsidR="00140569" w:rsidRDefault="00140569" w:rsidP="00D53ECC">
      <w:pPr>
        <w:pStyle w:val="Hesber"/>
        <w:spacing w:line="240" w:lineRule="auto"/>
        <w:rPr>
          <w:rtl/>
        </w:rPr>
      </w:pPr>
      <w:r>
        <w:rPr>
          <w:rFonts w:hint="cs"/>
          <w:rtl/>
        </w:rPr>
        <w:t>ארגון הבריאות העולמי קובע כי אין רמה בטוחה של חשיפה לעשן טבק וקורא למדינות להפוך את המקומות הציבוריים לנקיים מעישון לחלוטין – ללא חדרי עישון. עוד קובע ארגון הבריאות העולמי כי פתרונות כגון אוורור (על גרסאותיו השונות), סינון אוויר וחדרי עישון עם או בלי מערכות אוורור נפרדות – הוכחו שוב ושוב כלא יעילים ולא מהווים הגנה מפני עשן טבק.</w:t>
      </w:r>
    </w:p>
    <w:p w14:paraId="1801D966" w14:textId="09317CF5" w:rsidR="00140569" w:rsidRDefault="00FD0C59" w:rsidP="00D53ECC">
      <w:pPr>
        <w:pStyle w:val="Hesber"/>
        <w:spacing w:line="240" w:lineRule="auto"/>
        <w:rPr>
          <w:rtl/>
        </w:rPr>
      </w:pPr>
      <w:r>
        <w:rPr>
          <w:rFonts w:hint="cs"/>
          <w:rtl/>
        </w:rPr>
        <w:t>כמו כן</w:t>
      </w:r>
      <w:r w:rsidR="00140569">
        <w:rPr>
          <w:rFonts w:hint="cs"/>
          <w:rtl/>
        </w:rPr>
        <w:t>, במקומות בהם ניתן שירות כמו מועדונים ובתי אוכל – החוק הקיים מתיר למעשה את הפגיעה בעובדים הנותנים את השירות הזה. כפי שחשוב להגן על עובדים בחוק לעבודה בישיבה, כך חשוב להגן עליהם מפני חשיפה לרעלים בעת מתן שירות בחדרי עישון.</w:t>
      </w:r>
    </w:p>
    <w:p w14:paraId="19FDDECC" w14:textId="77777777" w:rsidR="00140569" w:rsidRDefault="00140569" w:rsidP="00D53ECC">
      <w:pPr>
        <w:pStyle w:val="Hesber"/>
        <w:spacing w:line="240" w:lineRule="auto"/>
        <w:rPr>
          <w:rtl/>
        </w:rPr>
      </w:pPr>
      <w:r>
        <w:rPr>
          <w:rFonts w:hint="cs"/>
          <w:rtl/>
        </w:rPr>
        <w:t>גם הביקוש לחדרים כאלה איננו גדול, אלא הם משמשים כתירוץ להפרת החוק.</w:t>
      </w:r>
    </w:p>
    <w:p w14:paraId="3B58E930" w14:textId="77777777" w:rsidR="00140569" w:rsidRDefault="00140569" w:rsidP="00D53ECC">
      <w:pPr>
        <w:pStyle w:val="Hesber"/>
        <w:spacing w:line="240" w:lineRule="auto"/>
        <w:rPr>
          <w:rtl/>
        </w:rPr>
      </w:pPr>
      <w:r>
        <w:rPr>
          <w:rFonts w:hint="cs"/>
          <w:rtl/>
        </w:rPr>
        <w:lastRenderedPageBreak/>
        <w:t>מסתבר שבעלי מקומות עושים שימוש לרעה באפשרות שהמחוקק נתן להקצות חדרי עישון, ומקצים חדרי עישון לא חוקיים:</w:t>
      </w:r>
    </w:p>
    <w:p w14:paraId="5CF6AF4D" w14:textId="77777777" w:rsidR="00140569" w:rsidRDefault="00140569" w:rsidP="00D53ECC">
      <w:pPr>
        <w:pStyle w:val="Hesber"/>
        <w:numPr>
          <w:ilvl w:val="0"/>
          <w:numId w:val="28"/>
        </w:numPr>
        <w:spacing w:line="240" w:lineRule="auto"/>
        <w:textAlignment w:val="auto"/>
        <w:rPr>
          <w:rtl/>
        </w:rPr>
      </w:pPr>
      <w:r>
        <w:rPr>
          <w:rFonts w:hint="cs"/>
          <w:rtl/>
        </w:rPr>
        <w:t>לא מקפידים על סגירת דלת חדר העישון;</w:t>
      </w:r>
    </w:p>
    <w:p w14:paraId="7EB00724" w14:textId="24516744" w:rsidR="00140569" w:rsidRDefault="00140569" w:rsidP="00D53ECC">
      <w:pPr>
        <w:pStyle w:val="Hesber"/>
        <w:numPr>
          <w:ilvl w:val="0"/>
          <w:numId w:val="28"/>
        </w:numPr>
        <w:spacing w:line="240" w:lineRule="auto"/>
        <w:textAlignment w:val="auto"/>
      </w:pPr>
      <w:r>
        <w:rPr>
          <w:rFonts w:hint="cs"/>
          <w:rtl/>
        </w:rPr>
        <w:t xml:space="preserve">מקצים חדרי מדרגות כחדרי עישון – (אף על פי שמדובר במרחב שהוא לא "חדר" נפרד לחלוטין, העישון שם גורם למטרד בכל הבניין ועוברים שם גם אנשים לא מעשנים. </w:t>
      </w:r>
      <w:hyperlink r:id="rId12" w:history="1">
        <w:r w:rsidRPr="00FD0C59">
          <w:rPr>
            <w:rStyle w:val="Hyperlink"/>
            <w:rFonts w:hint="cs"/>
            <w:color w:val="auto"/>
            <w:u w:val="none"/>
            <w:rtl/>
          </w:rPr>
          <w:t xml:space="preserve">פסק דין קסם מילניום נגד </w:t>
        </w:r>
        <w:proofErr w:type="spellStart"/>
        <w:r w:rsidRPr="00FD0C59">
          <w:rPr>
            <w:rStyle w:val="Hyperlink"/>
            <w:rFonts w:hint="cs"/>
            <w:color w:val="auto"/>
            <w:u w:val="none"/>
            <w:rtl/>
          </w:rPr>
          <w:t>מיקדן</w:t>
        </w:r>
        <w:proofErr w:type="spellEnd"/>
        <w:r w:rsidRPr="00FD0C59">
          <w:rPr>
            <w:rStyle w:val="Hyperlink"/>
            <w:rFonts w:hint="cs"/>
            <w:color w:val="auto"/>
            <w:u w:val="none"/>
            <w:rtl/>
          </w:rPr>
          <w:t xml:space="preserve"> ספנות</w:t>
        </w:r>
      </w:hyperlink>
      <w:r>
        <w:rPr>
          <w:rFonts w:hint="cs"/>
          <w:rtl/>
        </w:rPr>
        <w:t xml:space="preserve"> (ת"א (שלום ת"א) 39435/07 </w:t>
      </w:r>
      <w:r w:rsidRPr="00FD0C59">
        <w:rPr>
          <w:rFonts w:hint="cs"/>
          <w:b/>
          <w:bCs/>
          <w:rtl/>
        </w:rPr>
        <w:t xml:space="preserve">קסם מילניום בע"מ נ' </w:t>
      </w:r>
      <w:proofErr w:type="spellStart"/>
      <w:r w:rsidRPr="00FD0C59">
        <w:rPr>
          <w:rFonts w:hint="cs"/>
          <w:b/>
          <w:bCs/>
          <w:rtl/>
        </w:rPr>
        <w:t>מיקדן</w:t>
      </w:r>
      <w:proofErr w:type="spellEnd"/>
      <w:r w:rsidRPr="00FD0C59">
        <w:rPr>
          <w:rFonts w:hint="cs"/>
          <w:b/>
          <w:bCs/>
          <w:rtl/>
        </w:rPr>
        <w:t>-ספנות בע"מ</w:t>
      </w:r>
      <w:r>
        <w:rPr>
          <w:rFonts w:hint="cs"/>
          <w:rtl/>
        </w:rPr>
        <w:t xml:space="preserve"> (</w:t>
      </w:r>
      <w:r w:rsidR="00FD0C59">
        <w:rPr>
          <w:rFonts w:hint="cs"/>
          <w:rtl/>
        </w:rPr>
        <w:t>ניתן ביום</w:t>
      </w:r>
      <w:r>
        <w:rPr>
          <w:rFonts w:hint="cs"/>
          <w:rtl/>
        </w:rPr>
        <w:t xml:space="preserve"> 31.05.2009)</w:t>
      </w:r>
      <w:r>
        <w:rPr>
          <w:rFonts w:hint="cs"/>
        </w:rPr>
        <w:t xml:space="preserve"> </w:t>
      </w:r>
      <w:r>
        <w:rPr>
          <w:rFonts w:hint="cs"/>
          <w:rtl/>
        </w:rPr>
        <w:t>קובע בדיוק את הקביעות האלו ופוסל הקצאת חדר מדרגות כחדר עישון;</w:t>
      </w:r>
    </w:p>
    <w:p w14:paraId="420EFF0B" w14:textId="77777777" w:rsidR="00140569" w:rsidRDefault="00140569" w:rsidP="00D53ECC">
      <w:pPr>
        <w:pStyle w:val="Hesber"/>
        <w:numPr>
          <w:ilvl w:val="0"/>
          <w:numId w:val="28"/>
        </w:numPr>
        <w:spacing w:line="240" w:lineRule="auto"/>
        <w:textAlignment w:val="auto"/>
      </w:pPr>
      <w:r>
        <w:rPr>
          <w:rFonts w:hint="cs"/>
          <w:rtl/>
        </w:rPr>
        <w:t>מקצים חדרי עישון ללא תקרה או ללא דלת או עם דלת פתוחה;</w:t>
      </w:r>
    </w:p>
    <w:p w14:paraId="545B125A" w14:textId="77777777" w:rsidR="00140569" w:rsidRDefault="00140569" w:rsidP="00D53ECC">
      <w:pPr>
        <w:pStyle w:val="Hesber"/>
        <w:numPr>
          <w:ilvl w:val="0"/>
          <w:numId w:val="28"/>
        </w:numPr>
        <w:spacing w:line="240" w:lineRule="auto"/>
        <w:textAlignment w:val="auto"/>
      </w:pPr>
      <w:r>
        <w:rPr>
          <w:rFonts w:hint="cs"/>
          <w:rtl/>
        </w:rPr>
        <w:t xml:space="preserve">מקצים חדרי עישון עם דלת שיש בה פתחי אוורור; </w:t>
      </w:r>
    </w:p>
    <w:p w14:paraId="44DBD9DE" w14:textId="77777777" w:rsidR="00140569" w:rsidRDefault="00140569" w:rsidP="00D53ECC">
      <w:pPr>
        <w:pStyle w:val="Hesber"/>
        <w:numPr>
          <w:ilvl w:val="0"/>
          <w:numId w:val="28"/>
        </w:numPr>
        <w:spacing w:line="240" w:lineRule="auto"/>
        <w:textAlignment w:val="auto"/>
      </w:pPr>
      <w:r>
        <w:rPr>
          <w:rFonts w:hint="cs"/>
          <w:rtl/>
        </w:rPr>
        <w:t>מקצים תאי עישון עשויים קירות זכוכית עם חורים בקירות;</w:t>
      </w:r>
    </w:p>
    <w:p w14:paraId="4141E4F4" w14:textId="77777777" w:rsidR="00140569" w:rsidRDefault="00140569" w:rsidP="00D53ECC">
      <w:pPr>
        <w:pStyle w:val="Hesber"/>
        <w:numPr>
          <w:ilvl w:val="0"/>
          <w:numId w:val="28"/>
        </w:numPr>
        <w:spacing w:line="240" w:lineRule="auto"/>
        <w:textAlignment w:val="auto"/>
      </w:pPr>
      <w:r>
        <w:rPr>
          <w:rFonts w:hint="cs"/>
          <w:rtl/>
        </w:rPr>
        <w:t>מקצים פינות עישון או אזורי עישון, כלומר אזור ללא הפרדה של ממש;</w:t>
      </w:r>
    </w:p>
    <w:p w14:paraId="17F92D2D" w14:textId="77777777" w:rsidR="00140569" w:rsidRDefault="00140569" w:rsidP="00D53ECC">
      <w:pPr>
        <w:pStyle w:val="Hesber"/>
        <w:numPr>
          <w:ilvl w:val="0"/>
          <w:numId w:val="28"/>
        </w:numPr>
        <w:spacing w:line="240" w:lineRule="auto"/>
        <w:textAlignment w:val="auto"/>
      </w:pPr>
      <w:r>
        <w:rPr>
          <w:rFonts w:hint="cs"/>
          <w:rtl/>
        </w:rPr>
        <w:t>מסך אוויר – הפרדה וירטואלית בתוספת זרם אוויר.</w:t>
      </w:r>
    </w:p>
    <w:p w14:paraId="4D46C43B" w14:textId="715E42D2" w:rsidR="00140569" w:rsidRDefault="00140569" w:rsidP="00D53ECC">
      <w:pPr>
        <w:pStyle w:val="Hesber"/>
        <w:spacing w:line="240" w:lineRule="auto"/>
        <w:rPr>
          <w:rtl/>
        </w:rPr>
      </w:pPr>
      <w:r>
        <w:rPr>
          <w:rFonts w:hint="cs"/>
          <w:rtl/>
        </w:rPr>
        <w:t>זאת ועוד, במקומות בילוי (מסעדות, בתי קפה, ברים, מועדונים וכיו</w:t>
      </w:r>
      <w:r w:rsidR="00FD0C59">
        <w:rPr>
          <w:rFonts w:hint="cs"/>
          <w:rtl/>
        </w:rPr>
        <w:t xml:space="preserve">צא </w:t>
      </w:r>
      <w:r>
        <w:rPr>
          <w:rFonts w:hint="cs"/>
          <w:rtl/>
        </w:rPr>
        <w:t>ב</w:t>
      </w:r>
      <w:r w:rsidR="00FD0C59">
        <w:rPr>
          <w:rFonts w:hint="cs"/>
          <w:rtl/>
        </w:rPr>
        <w:t>אלה</w:t>
      </w:r>
      <w:r>
        <w:rPr>
          <w:rFonts w:hint="cs"/>
          <w:rtl/>
        </w:rPr>
        <w:t>) – חדר העישון מהווה יותר מרבע מכלל שטח המקום, ולעיתים אף את רוב שטח המקום, בניגוד להוראה שחדר עישון במקום בילוי, אם הוחלט להקצות כזה, יהיה עד רבע מכלל שטח המקום.</w:t>
      </w:r>
    </w:p>
    <w:p w14:paraId="2EE2DDB5" w14:textId="679D2DF1" w:rsidR="00140569" w:rsidRDefault="00140569" w:rsidP="00D53ECC">
      <w:pPr>
        <w:pStyle w:val="Hesber"/>
        <w:spacing w:line="240" w:lineRule="auto"/>
        <w:rPr>
          <w:rtl/>
        </w:rPr>
      </w:pPr>
      <w:r>
        <w:rPr>
          <w:rFonts w:hint="cs"/>
          <w:rtl/>
        </w:rPr>
        <w:t xml:space="preserve">במקומות עבודה </w:t>
      </w:r>
      <w:r w:rsidR="00FD0C59">
        <w:rPr>
          <w:rFonts w:hint="eastAsia"/>
          <w:rtl/>
        </w:rPr>
        <w:t>–</w:t>
      </w:r>
      <w:r>
        <w:rPr>
          <w:rFonts w:hint="cs"/>
          <w:rtl/>
        </w:rPr>
        <w:t xml:space="preserve"> כל אדם מעשן ששמו כתוב על דלת של חדר במקום עבודה סבור שזה החדר הפרטי שלו ומרשה לעצמו לעשן שם, גם אם נמצאים </w:t>
      </w:r>
      <w:proofErr w:type="spellStart"/>
      <w:r>
        <w:rPr>
          <w:rFonts w:hint="cs"/>
          <w:rtl/>
        </w:rPr>
        <w:t>איתו</w:t>
      </w:r>
      <w:proofErr w:type="spellEnd"/>
      <w:r>
        <w:rPr>
          <w:rFonts w:hint="cs"/>
          <w:rtl/>
        </w:rPr>
        <w:t xml:space="preserve"> בחדר או נכנסים לחדר אנשים לא מעשנים.</w:t>
      </w:r>
    </w:p>
    <w:p w14:paraId="50602D2A" w14:textId="77777777" w:rsidR="00140569" w:rsidRDefault="00140569" w:rsidP="00D53ECC">
      <w:pPr>
        <w:pStyle w:val="Hesber"/>
        <w:spacing w:line="240" w:lineRule="auto"/>
        <w:rPr>
          <w:rtl/>
        </w:rPr>
      </w:pPr>
      <w:r>
        <w:rPr>
          <w:rFonts w:hint="cs"/>
          <w:rtl/>
        </w:rPr>
        <w:t>כמו כן, אין לצפות מאדם סביר, שמגיע למקום ציבורי, שימדוד את שטח המקום ויידע אם המקום עומד או לא עומד בדרישות הגודל על מנת להתלונן עליו. הדבר נכון הן לגבי שטח מוחלט שנמדד במטרים רבועים והן לגבי שטח יחסי שנמדד באחוזים מכלל שטח המקום.</w:t>
      </w:r>
    </w:p>
    <w:p w14:paraId="14B177E1" w14:textId="77777777" w:rsidR="00140569" w:rsidRDefault="00140569" w:rsidP="00D53ECC">
      <w:pPr>
        <w:pStyle w:val="Hesber"/>
        <w:spacing w:line="240" w:lineRule="auto"/>
        <w:rPr>
          <w:rtl/>
        </w:rPr>
      </w:pPr>
      <w:r>
        <w:rPr>
          <w:rFonts w:hint="cs"/>
          <w:rtl/>
        </w:rPr>
        <w:t xml:space="preserve">בנוגע לאזורי עישון במקומות ציבוריים פתוחים, אזורי עישון בחלקים החיצונים של בתי אוכל ושל אולמות אירועים, בגני אירועים, </w:t>
      </w:r>
      <w:proofErr w:type="spellStart"/>
      <w:r>
        <w:rPr>
          <w:rFonts w:hint="cs"/>
          <w:rtl/>
        </w:rPr>
        <w:t>באיצטדיונים</w:t>
      </w:r>
      <w:proofErr w:type="spellEnd"/>
      <w:r>
        <w:rPr>
          <w:rFonts w:hint="cs"/>
          <w:rtl/>
        </w:rPr>
        <w:t xml:space="preserve"> גם הם אינם יעילים במניעת העישון הכפוי, שכן הרוח מעיפה את העשן מכיוון אזור העישון לאזור האסור בעישון, וכמו כן – אנשים מעשנים שבאים בחברת אנשים לא מעשנים (ובמיוחד קטינים) יושבים באזור העישון, ומאלצים את הלא מעשנים לשבת ביחד איתם באזור העישון.</w:t>
      </w:r>
    </w:p>
    <w:p w14:paraId="7750C17C" w14:textId="77777777" w:rsidR="00140569" w:rsidRDefault="00140569" w:rsidP="00D53ECC">
      <w:pPr>
        <w:pStyle w:val="Hesber"/>
        <w:spacing w:line="240" w:lineRule="auto"/>
        <w:rPr>
          <w:rtl/>
        </w:rPr>
      </w:pPr>
      <w:r>
        <w:rPr>
          <w:rFonts w:hint="cs"/>
          <w:rtl/>
        </w:rPr>
        <w:t xml:space="preserve">בצו למניעת העישון במקומות ציבוריים והחשיפה לעישון (שינוי התוספת לחוק), </w:t>
      </w:r>
      <w:proofErr w:type="spellStart"/>
      <w:r>
        <w:rPr>
          <w:rFonts w:hint="cs"/>
          <w:rtl/>
        </w:rPr>
        <w:t>התשע"ב</w:t>
      </w:r>
      <w:proofErr w:type="spellEnd"/>
      <w:r>
        <w:rPr>
          <w:rFonts w:hint="cs"/>
          <w:rtl/>
        </w:rPr>
        <w:t xml:space="preserve">–2012, משרד הבריאות אסר את העישון באופן מוחלט בבריכות שחייה, כולל בחצרות הבריכות (מדשאות, מרצפות </w:t>
      </w:r>
      <w:proofErr w:type="spellStart"/>
      <w:r>
        <w:rPr>
          <w:rFonts w:hint="cs"/>
          <w:rtl/>
        </w:rPr>
        <w:t>וכיוב</w:t>
      </w:r>
      <w:proofErr w:type="spellEnd"/>
      <w:r>
        <w:rPr>
          <w:rFonts w:hint="cs"/>
          <w:rtl/>
        </w:rPr>
        <w:t>'), ללא אפשרות הקצאת אזור עישון.</w:t>
      </w:r>
    </w:p>
    <w:p w14:paraId="701BAE93" w14:textId="77777777" w:rsidR="00140569" w:rsidRDefault="00140569" w:rsidP="00D53ECC">
      <w:pPr>
        <w:pStyle w:val="Hesber"/>
        <w:spacing w:line="240" w:lineRule="auto"/>
        <w:rPr>
          <w:rtl/>
        </w:rPr>
      </w:pPr>
      <w:r>
        <w:rPr>
          <w:rFonts w:hint="cs"/>
          <w:rtl/>
        </w:rPr>
        <w:t>חדרי העישון ואזורי העישון מקשים בצורה ניכרת על אכיפת החוק מכיוון שהם מהווים למעשה פטור חלקי וכר נרחב לפרשנויות, הן על ידי בעלי מקומות ציבוריים, הן על ידי גופי אכיפה והן על ידי בתי משפט.</w:t>
      </w:r>
    </w:p>
    <w:p w14:paraId="71053968" w14:textId="77777777" w:rsidR="00140569" w:rsidRDefault="00140569" w:rsidP="00D53ECC">
      <w:pPr>
        <w:pStyle w:val="Hesber"/>
        <w:spacing w:line="240" w:lineRule="auto"/>
        <w:rPr>
          <w:rtl/>
        </w:rPr>
      </w:pPr>
      <w:r>
        <w:rPr>
          <w:rFonts w:hint="cs"/>
          <w:rtl/>
        </w:rPr>
        <w:t>החוק צריך להיות ברור וחד משמעי כדי למנוע בעיות אלו.</w:t>
      </w:r>
    </w:p>
    <w:p w14:paraId="70783C4C" w14:textId="7F6A5043" w:rsidR="00140569" w:rsidRDefault="00FD724B" w:rsidP="00D53ECC">
      <w:pPr>
        <w:pStyle w:val="Hesber"/>
        <w:spacing w:line="240" w:lineRule="auto"/>
        <w:rPr>
          <w:rtl/>
        </w:rPr>
      </w:pPr>
      <w:r>
        <w:rPr>
          <w:rFonts w:hint="cs"/>
          <w:rtl/>
        </w:rPr>
        <w:t>לפיכך</w:t>
      </w:r>
      <w:r w:rsidR="00140569">
        <w:rPr>
          <w:rFonts w:hint="cs"/>
          <w:rtl/>
        </w:rPr>
        <w:t>, מוצע לבטל את חדרי העישון בכלל המקומות הציבוריים הסגורים וכן את אזורי העישון במקומות הציבוריים הפתוחים.</w:t>
      </w:r>
    </w:p>
    <w:p w14:paraId="4FAE10A4" w14:textId="77777777" w:rsidR="00140569" w:rsidRDefault="00140569" w:rsidP="00D53ECC">
      <w:pPr>
        <w:pStyle w:val="Hesber"/>
        <w:spacing w:line="240" w:lineRule="auto"/>
        <w:rPr>
          <w:rtl/>
        </w:rPr>
      </w:pPr>
      <w:r>
        <w:rPr>
          <w:rFonts w:hint="cs"/>
          <w:rtl/>
        </w:rPr>
        <w:t>לצורך פרטים אחדים בתוספת יש צורך להסביר את המונח:</w:t>
      </w:r>
    </w:p>
    <w:p w14:paraId="63C1461B" w14:textId="48019945" w:rsidR="00140569" w:rsidRDefault="00140569" w:rsidP="00D53ECC">
      <w:pPr>
        <w:pStyle w:val="Hesber"/>
        <w:spacing w:line="240" w:lineRule="auto"/>
        <w:rPr>
          <w:rtl/>
        </w:rPr>
      </w:pPr>
      <w:r>
        <w:rPr>
          <w:rFonts w:hint="cs"/>
          <w:rtl/>
        </w:rPr>
        <w:t>"עישון יד שלישית"</w:t>
      </w:r>
      <w:r w:rsidR="00FD724B">
        <w:rPr>
          <w:rFonts w:hint="cs"/>
          <w:rtl/>
        </w:rPr>
        <w:t xml:space="preserve"> </w:t>
      </w:r>
      <w:r w:rsidR="00FD724B">
        <w:rPr>
          <w:rFonts w:hint="eastAsia"/>
          <w:rtl/>
        </w:rPr>
        <w:t>–</w:t>
      </w:r>
      <w:r>
        <w:rPr>
          <w:rFonts w:hint="cs"/>
          <w:rtl/>
        </w:rPr>
        <w:t xml:space="preserve"> כאשר נכנסים לחלל סגור שעישנו בו, ישנו ריח של עישון, אף אם העישון התבצע זמן רב לפני כן. משקעי העשן, המכילים חלקיקים מזהמים ורעילים – חלקיקי מתכות כבדות וחומרים מסרטנים ורדיואקטיביים אינם נעלמים לאחר העישון אלא נספגים ברהיטים, בשטיחים, במושבים ובריפודים, בבגדים, נפלטים לאחר מכן, יוצרים ריח של סיגריות וגורמים לנזק בריאותי.</w:t>
      </w:r>
    </w:p>
    <w:p w14:paraId="08AB748B" w14:textId="77777777" w:rsidR="00140569" w:rsidRDefault="00140569" w:rsidP="00D53ECC">
      <w:pPr>
        <w:pStyle w:val="Hesber"/>
        <w:spacing w:line="240" w:lineRule="auto"/>
        <w:rPr>
          <w:rtl/>
        </w:rPr>
      </w:pPr>
      <w:r>
        <w:rPr>
          <w:rFonts w:hint="cs"/>
          <w:rtl/>
        </w:rPr>
        <w:t>מוצע לתקן את פרט 1 לתוספת כך שהאיסור הקבוע בסעיף יחול גם במקומות פתוחים לרבות מקומות בהם נערכים אירועי תרבות ובידור תחת כיפת השמים.</w:t>
      </w:r>
    </w:p>
    <w:p w14:paraId="34A2C034" w14:textId="77777777" w:rsidR="00140569" w:rsidRDefault="00140569" w:rsidP="00D53ECC">
      <w:pPr>
        <w:pStyle w:val="Hesber"/>
        <w:spacing w:line="240" w:lineRule="auto"/>
        <w:rPr>
          <w:rtl/>
        </w:rPr>
      </w:pPr>
      <w:r>
        <w:rPr>
          <w:rFonts w:hint="cs"/>
          <w:rtl/>
        </w:rPr>
        <w:t>מוצע לתקן את פרט 2 כך שאיסור העישון יחול בכל מקום בתחום בית חולים או מרפאה, לרבות אזור מחוץ למבנה המהווה חלק ממתחם בית החולים או המרפאה.</w:t>
      </w:r>
    </w:p>
    <w:p w14:paraId="62B45E36" w14:textId="55FA016F" w:rsidR="00140569" w:rsidRDefault="00140569" w:rsidP="00D53ECC">
      <w:pPr>
        <w:pStyle w:val="Hesber"/>
        <w:spacing w:line="240" w:lineRule="auto"/>
        <w:rPr>
          <w:rtl/>
        </w:rPr>
      </w:pPr>
      <w:r>
        <w:rPr>
          <w:rFonts w:hint="cs"/>
          <w:rtl/>
        </w:rPr>
        <w:t xml:space="preserve">מוצע לתקן את פרט 8 כך שייאסר על עישון במוניות בכל עת. עד כניסתו לתוקף של הצו למניעת העישון במקומות ציבוריים (שינוי התוספת לחוק) </w:t>
      </w:r>
      <w:proofErr w:type="spellStart"/>
      <w:r>
        <w:rPr>
          <w:rFonts w:hint="cs"/>
          <w:rtl/>
        </w:rPr>
        <w:t>התשע"ב</w:t>
      </w:r>
      <w:proofErr w:type="spellEnd"/>
      <w:r>
        <w:rPr>
          <w:rFonts w:hint="cs"/>
          <w:rtl/>
        </w:rPr>
        <w:t>–2012</w:t>
      </w:r>
      <w:r w:rsidR="00FD724B">
        <w:rPr>
          <w:rFonts w:hint="cs"/>
          <w:rtl/>
        </w:rPr>
        <w:t>,</w:t>
      </w:r>
      <w:r>
        <w:rPr>
          <w:rFonts w:hint="cs"/>
          <w:rtl/>
        </w:rPr>
        <w:t xml:space="preserve"> ביולי 2012, היה אסור לעשן ברכבות, אוטובוסים וזוטובוסים רק בעת שיש בהם נוסעים, מאז כניסת הצו </w:t>
      </w:r>
      <w:r w:rsidR="00FD724B">
        <w:rPr>
          <w:rFonts w:hint="cs"/>
          <w:rtl/>
        </w:rPr>
        <w:t>האמור</w:t>
      </w:r>
      <w:r>
        <w:rPr>
          <w:rFonts w:hint="cs"/>
          <w:rtl/>
        </w:rPr>
        <w:t xml:space="preserve"> לתוקף, תוקנו פרטים 7 ו-9 לתוספת לחוק, ונאסר לעשן ברכבות, באוטובוסים </w:t>
      </w:r>
      <w:proofErr w:type="spellStart"/>
      <w:r>
        <w:rPr>
          <w:rFonts w:hint="cs"/>
          <w:rtl/>
        </w:rPr>
        <w:t>ובזוטובסים</w:t>
      </w:r>
      <w:proofErr w:type="spellEnd"/>
      <w:r>
        <w:rPr>
          <w:rFonts w:hint="cs"/>
          <w:rtl/>
        </w:rPr>
        <w:t xml:space="preserve"> בכל עת.</w:t>
      </w:r>
    </w:p>
    <w:p w14:paraId="3C8F16DB" w14:textId="77777777" w:rsidR="00140569" w:rsidRDefault="00140569" w:rsidP="00D53ECC">
      <w:pPr>
        <w:pStyle w:val="Hesber"/>
        <w:spacing w:line="240" w:lineRule="auto"/>
        <w:rPr>
          <w:rtl/>
        </w:rPr>
      </w:pPr>
      <w:r>
        <w:rPr>
          <w:rFonts w:hint="cs"/>
          <w:rtl/>
        </w:rPr>
        <w:t xml:space="preserve">בפרט 8 לתוספת (איסור עישון במוניות) לא חל כל שינוי, ועדיין נאסר לעשן במונית רק בעת שיש בה נוסעים. כיום, יכול נהג מונית לעשן כאשר הוא בדרכו לאסוף נוסעים, ולכבות את הסיגריה בזמן עליית נוסעים למונית. כמובן שהעשן לא מתפזר </w:t>
      </w:r>
      <w:proofErr w:type="spellStart"/>
      <w:r>
        <w:rPr>
          <w:rFonts w:hint="cs"/>
          <w:rtl/>
        </w:rPr>
        <w:t>מיידית</w:t>
      </w:r>
      <w:proofErr w:type="spellEnd"/>
      <w:r>
        <w:rPr>
          <w:rFonts w:hint="cs"/>
          <w:rtl/>
        </w:rPr>
        <w:t>, ובמקרה זה מתקיים עישון כפוי. נוסף על כך, במונית מתקיימת התופעה של "עישון יד שלישית".</w:t>
      </w:r>
    </w:p>
    <w:p w14:paraId="586CB636" w14:textId="77777777" w:rsidR="00140569" w:rsidRDefault="00140569" w:rsidP="00D53ECC">
      <w:pPr>
        <w:pStyle w:val="Hesber"/>
        <w:spacing w:line="240" w:lineRule="auto"/>
        <w:rPr>
          <w:rtl/>
        </w:rPr>
      </w:pPr>
      <w:r>
        <w:rPr>
          <w:rFonts w:hint="cs"/>
          <w:rtl/>
        </w:rPr>
        <w:t xml:space="preserve">מוצע לתקן את פרטים 12 ו-12א לתוספת על ידי איחוד הפרטים כך שפרט 12 יכלול מקומות ציבוריים שמשמשים לפעילות גופנית או לספורט, לרבות בריכת שחייה והחצר שלה. זאת מכיוון שישנם מקומות פתוחים נוספים חוץ מבריכת שחייה כגון מועדוני טניס, קאנטרי קלאב </w:t>
      </w:r>
      <w:proofErr w:type="spellStart"/>
      <w:r>
        <w:rPr>
          <w:rFonts w:hint="cs"/>
          <w:rtl/>
        </w:rPr>
        <w:t>וכו</w:t>
      </w:r>
      <w:proofErr w:type="spellEnd"/>
      <w:r>
        <w:rPr>
          <w:rFonts w:hint="cs"/>
          <w:rtl/>
        </w:rPr>
        <w:t xml:space="preserve">', כמו כן – ישנן בריכות שחייה בתוך מבנה, עם חצר חיצונית, כאשר העישון בתוך החצר מהווה מטרד לשוהים בבריכה שנמצאת במבנה. </w:t>
      </w:r>
      <w:r>
        <w:rPr>
          <w:rFonts w:hint="cs"/>
          <w:rtl/>
        </w:rPr>
        <w:lastRenderedPageBreak/>
        <w:t>כפי שהחוק מנוסח כיום – בריכה שכזאת "נופלת בין הכיסאות", שכן החוק אוסר עישון בבריכה בתוך מבנה, אבל לא בחצר שלה, ואוסר עישון בבריכה שלא במבנה, לרבות החצר.</w:t>
      </w:r>
    </w:p>
    <w:p w14:paraId="5D97099C" w14:textId="77777777" w:rsidR="00140569" w:rsidRDefault="00140569" w:rsidP="00D53ECC">
      <w:pPr>
        <w:pStyle w:val="Hesber"/>
        <w:spacing w:line="240" w:lineRule="auto"/>
        <w:rPr>
          <w:rtl/>
        </w:rPr>
      </w:pPr>
      <w:r>
        <w:rPr>
          <w:rFonts w:hint="cs"/>
          <w:rtl/>
        </w:rPr>
        <w:t>מוצע לתקן את פרט 13 כך שייאסר העישון בגן שעשועים ציבורי לילדים. גן השעשועים הוא מרחב ציבורי שבו שוהים לרוב תינוקות וילדים רכים עם הוריהם, ביניהם לעתים גם נשים הרות. כיום ילדים חשופים לנזקי העישון.</w:t>
      </w:r>
    </w:p>
    <w:p w14:paraId="06589744" w14:textId="77777777" w:rsidR="00140569" w:rsidRDefault="00140569" w:rsidP="00D53ECC">
      <w:pPr>
        <w:pStyle w:val="Hesber"/>
        <w:spacing w:line="240" w:lineRule="auto"/>
        <w:rPr>
          <w:rtl/>
        </w:rPr>
      </w:pPr>
      <w:r>
        <w:rPr>
          <w:rFonts w:hint="cs"/>
          <w:rtl/>
        </w:rPr>
        <w:t>מחקרים מדעיים מוכיחים כי עישון סביבתי גורם לנזק בריאותי חמור לילדים. לדוגמא, ניתוח של מחקרים רבים בקרב אוכלוסייה רגישה זו הציג עליה ניכרת בסיכון לזיהומים בדרכי הנשימה, להתקפי אסטמה ולצפצופים, לזיהומים באוזן התיכונה, לפגיעה בתפקוד ריאתי ולדלקת קרום המוח (בחלק מהמקרים הסיכון יותר מכפול). כמו כן, מחקרים עדכניים מוכיחים, כי גם חשיפה באוויר הפתוח ולא רק במקומות סגורים היא משמעותית. בנוסף התינוקות והילדים בולעים את בדלי הסיגריות המושלכים על הרצפה, דבר שמהווה סכנה בריאותית גם כן.</w:t>
      </w:r>
    </w:p>
    <w:p w14:paraId="0FAFCD45" w14:textId="64817E33" w:rsidR="00140569" w:rsidRDefault="00140569" w:rsidP="00D53ECC">
      <w:pPr>
        <w:pStyle w:val="Hesber"/>
        <w:spacing w:line="240" w:lineRule="auto"/>
        <w:rPr>
          <w:rtl/>
        </w:rPr>
      </w:pPr>
      <w:r>
        <w:rPr>
          <w:rFonts w:hint="cs"/>
          <w:rtl/>
        </w:rPr>
        <w:t xml:space="preserve">מוצע לתקן את פרט 14 </w:t>
      </w:r>
      <w:r w:rsidR="00FD724B">
        <w:rPr>
          <w:rFonts w:hint="cs"/>
          <w:rtl/>
        </w:rPr>
        <w:t>ולהבהיר</w:t>
      </w:r>
      <w:r>
        <w:rPr>
          <w:rFonts w:hint="cs"/>
          <w:rtl/>
        </w:rPr>
        <w:t xml:space="preserve"> שהעישון אסור לא רק בבנק ובדואר, אלא בכל מקום ציבורי שבו מתקיימת קבלת קהל, שירות קהל והמתנת קהל.</w:t>
      </w:r>
    </w:p>
    <w:p w14:paraId="66628111" w14:textId="77777777" w:rsidR="00140569" w:rsidRDefault="00140569" w:rsidP="00D53ECC">
      <w:pPr>
        <w:pStyle w:val="Hesber"/>
        <w:spacing w:line="240" w:lineRule="auto"/>
        <w:rPr>
          <w:rtl/>
        </w:rPr>
      </w:pPr>
      <w:r>
        <w:rPr>
          <w:rFonts w:hint="cs"/>
          <w:rtl/>
        </w:rPr>
        <w:t>מוצע לתקן את פרט 15 כך שייאסר העישון ברכב חברה על ידי הכללת רכב חברה (או למשל ניידות משטרה) במסגרת ההגדרה של "מקום עבודה". קיים איסור לעשן ברכבות, מוניות, אוטובוסים וזוטובוסים, ואפילו ברכבים ללימוד נהיגה. קיים איסור לעשן במקומות עבודה בפרט 15, אולם ההגדרה של מקום עבודה לפי פרט זה היא "כל מקום בבניין".</w:t>
      </w:r>
    </w:p>
    <w:p w14:paraId="6BFE616F" w14:textId="77777777" w:rsidR="00140569" w:rsidRDefault="00140569" w:rsidP="00D53ECC">
      <w:pPr>
        <w:pStyle w:val="Hesber"/>
        <w:spacing w:line="240" w:lineRule="auto"/>
        <w:rPr>
          <w:rtl/>
        </w:rPr>
      </w:pPr>
      <w:r>
        <w:rPr>
          <w:rFonts w:hint="cs"/>
          <w:rtl/>
        </w:rPr>
        <w:t>ישנם רכבים שמוקצים לשימושם של מספר עובדים אך ורק לענייני עבודה ובזמן עבודה (ולא ניתנים להם בזמנם הפרטי).</w:t>
      </w:r>
    </w:p>
    <w:p w14:paraId="18ECCD9F" w14:textId="6115F20C" w:rsidR="00140569" w:rsidRDefault="00140569" w:rsidP="00D53ECC">
      <w:pPr>
        <w:pStyle w:val="Hesber"/>
        <w:spacing w:line="240" w:lineRule="auto"/>
        <w:rPr>
          <w:rtl/>
        </w:rPr>
      </w:pPr>
      <w:r>
        <w:rPr>
          <w:rFonts w:hint="cs"/>
          <w:rtl/>
        </w:rPr>
        <w:t xml:space="preserve">עובדים שמעשנים בנוכחות עובדים אחרים ברכב חברה גורמים להם לנשום עשן רעיל ומסרטן בעל כורחם. </w:t>
      </w:r>
      <w:r w:rsidR="00FD724B">
        <w:rPr>
          <w:rFonts w:hint="cs"/>
          <w:rtl/>
        </w:rPr>
        <w:t xml:space="preserve">כמו כן </w:t>
      </w:r>
      <w:r>
        <w:rPr>
          <w:rFonts w:hint="cs"/>
          <w:rtl/>
        </w:rPr>
        <w:t>– קיימת התופעה של "עישון יד שלישית". לכן יש לראות רכבים מסוג זה כ"מקום עבודה".</w:t>
      </w:r>
    </w:p>
    <w:p w14:paraId="4F990EA0" w14:textId="77777777" w:rsidR="00140569" w:rsidRDefault="00140569" w:rsidP="00D53ECC">
      <w:pPr>
        <w:pStyle w:val="Hesber"/>
        <w:spacing w:line="240" w:lineRule="auto"/>
        <w:rPr>
          <w:rtl/>
        </w:rPr>
      </w:pPr>
      <w:r>
        <w:rPr>
          <w:rFonts w:hint="cs"/>
          <w:rtl/>
        </w:rPr>
        <w:t>מוצע לקבוע איסור עישון בחלקים שהם "רכוש משותף" בבית משותף כגון לובי, חלל פנימי מקורה ושאינו מקורה, חדרי מדרגות, מדרגות חיצוניות ומדרגות חירום. עישון במקומות אלה גורם לחשיפה לעישון כפוי ולמטרד ריח בשטחים המשותפים ובתוך דירות מגורים ומשרדים סמוכים.</w:t>
      </w:r>
    </w:p>
    <w:p w14:paraId="3DD2DD00" w14:textId="77777777" w:rsidR="00140569" w:rsidRDefault="00140569" w:rsidP="00D53ECC">
      <w:pPr>
        <w:pStyle w:val="Hesber"/>
        <w:spacing w:line="240" w:lineRule="auto"/>
        <w:rPr>
          <w:rtl/>
        </w:rPr>
      </w:pPr>
      <w:r>
        <w:rPr>
          <w:rFonts w:hint="cs"/>
          <w:rtl/>
        </w:rPr>
        <w:t>מוצע לקבוע איסור עישון בחניון מקורה או תת-קרקעי. חניונים מקורים או תת- קרקעיים הם מקומות בהם על פי רוב, אין תחלופה טובה של אוויר, ולכן החשיפה לעישון כפוי במקומות אלה משמעותית יותר. בנוסף, האיסור נועד למנוע הפיכת החניון המקורה או התת-קרקעי, במקומות בהם העישון אסור כמו קניונים ומקומות עבודה, ל"אזור עישון".</w:t>
      </w:r>
    </w:p>
    <w:p w14:paraId="5D7530C6" w14:textId="3E110023" w:rsidR="00140569" w:rsidRDefault="00140569" w:rsidP="00D53ECC">
      <w:pPr>
        <w:pStyle w:val="Hesber"/>
        <w:spacing w:line="240" w:lineRule="auto"/>
        <w:rPr>
          <w:rtl/>
        </w:rPr>
      </w:pPr>
      <w:r>
        <w:rPr>
          <w:rFonts w:hint="cs"/>
          <w:rtl/>
        </w:rPr>
        <w:t xml:space="preserve">מוצע לקבוע איסור עישון בבתי מלון ואכסניות, לרבות בחדרי האורחים. העשן מחדר שמעשנים בו בתוך בית מלון חודר למסדרונות ולחדרים אחרים, ומהווה מטרד לשוהים בקרבת מקום (מחוץ לחדר). </w:t>
      </w:r>
      <w:r w:rsidR="00FD724B">
        <w:rPr>
          <w:rFonts w:hint="cs"/>
          <w:rtl/>
        </w:rPr>
        <w:t>כמו כן</w:t>
      </w:r>
      <w:r>
        <w:rPr>
          <w:rFonts w:hint="cs"/>
          <w:rtl/>
        </w:rPr>
        <w:t xml:space="preserve"> – קיימת התופעה של "עישון יד שלישית".</w:t>
      </w:r>
    </w:p>
    <w:p w14:paraId="73DD0BB8" w14:textId="77777777" w:rsidR="00140569" w:rsidRDefault="00140569" w:rsidP="00D53ECC">
      <w:pPr>
        <w:pStyle w:val="Hesber"/>
        <w:spacing w:line="240" w:lineRule="auto"/>
        <w:rPr>
          <w:rtl/>
        </w:rPr>
      </w:pPr>
      <w:r>
        <w:rPr>
          <w:rFonts w:hint="cs"/>
          <w:rtl/>
        </w:rPr>
        <w:t>מוצע לקבוע איסור עישון בבניין שמשמש מגורים בבסיס צה"ל. קיים איסור עישון במתקני צה"ל כמקומות עבודה, אולם לא במגורי חיילים. חיילים רבים שאינם מעשנים סובלים מעישון כפוי במקומות אלו. בנוסף – קיימת התופעה של "עישון יד שלישית".</w:t>
      </w:r>
    </w:p>
    <w:p w14:paraId="0217925A" w14:textId="1D91E249" w:rsidR="00140569" w:rsidRDefault="00140569" w:rsidP="00D53ECC">
      <w:pPr>
        <w:pStyle w:val="Hesber"/>
        <w:spacing w:line="240" w:lineRule="auto"/>
        <w:rPr>
          <w:rtl/>
        </w:rPr>
      </w:pPr>
      <w:r>
        <w:rPr>
          <w:rFonts w:hint="cs"/>
          <w:rtl/>
        </w:rPr>
        <w:t>מוצע לקבוע איסור עישון בגן חיות. גן חיות הוא מקום בילוי לכל המשפחה, כולל ילדים קטנים ותינוקות. אנשים מצטופפים סב</w:t>
      </w:r>
      <w:r w:rsidR="00FD724B">
        <w:rPr>
          <w:rFonts w:hint="cs"/>
          <w:rtl/>
        </w:rPr>
        <w:t xml:space="preserve">יב כלובי החיות, חלקם מעשנים, ועל </w:t>
      </w:r>
      <w:r>
        <w:rPr>
          <w:rFonts w:hint="cs"/>
          <w:rtl/>
        </w:rPr>
        <w:t>י</w:t>
      </w:r>
      <w:r w:rsidR="00FD724B">
        <w:rPr>
          <w:rFonts w:hint="cs"/>
          <w:rtl/>
        </w:rPr>
        <w:t>די</w:t>
      </w:r>
      <w:r>
        <w:rPr>
          <w:rFonts w:hint="cs"/>
          <w:rtl/>
        </w:rPr>
        <w:t xml:space="preserve"> כך חושפים אנשים אחרים בקרבתם לעשן של מוצרי העישון.</w:t>
      </w:r>
    </w:p>
    <w:p w14:paraId="5D562796" w14:textId="273A940A" w:rsidR="00140569" w:rsidRDefault="00140569" w:rsidP="00D53ECC">
      <w:pPr>
        <w:pStyle w:val="Hesber"/>
        <w:spacing w:line="240" w:lineRule="auto"/>
        <w:rPr>
          <w:rtl/>
        </w:rPr>
      </w:pPr>
      <w:r>
        <w:rPr>
          <w:rFonts w:hint="cs"/>
          <w:b/>
          <w:bCs/>
          <w:rtl/>
        </w:rPr>
        <w:t>סעיף 19</w:t>
      </w:r>
      <w:r>
        <w:rPr>
          <w:rFonts w:hint="cs"/>
          <w:rtl/>
        </w:rPr>
        <w:t xml:space="preserve"> מוצע לתקן את חוק תובענות ייצוגיות</w:t>
      </w:r>
      <w:r w:rsidR="00FD724B">
        <w:rPr>
          <w:rFonts w:hint="cs"/>
          <w:rtl/>
        </w:rPr>
        <w:t xml:space="preserve">, </w:t>
      </w:r>
      <w:proofErr w:type="spellStart"/>
      <w:r w:rsidR="00FD724B">
        <w:rPr>
          <w:rFonts w:hint="cs"/>
          <w:rtl/>
        </w:rPr>
        <w:t>התשס"ו</w:t>
      </w:r>
      <w:proofErr w:type="spellEnd"/>
      <w:r w:rsidR="00FD724B">
        <w:rPr>
          <w:rFonts w:hint="eastAsia"/>
          <w:rtl/>
        </w:rPr>
        <w:t>–</w:t>
      </w:r>
      <w:r w:rsidR="00FD724B">
        <w:rPr>
          <w:rFonts w:hint="cs"/>
          <w:rtl/>
        </w:rPr>
        <w:t>2006,</w:t>
      </w:r>
      <w:r>
        <w:rPr>
          <w:rFonts w:hint="cs"/>
          <w:rtl/>
        </w:rPr>
        <w:t xml:space="preserve"> ולכלול בו במפורש הגשת תובענות ייצוגיות בגין הפרת החוק למניעת העישון במקומות ציבוריים. עד היום הוגשו כבר מספר תובענות ייצוגיות בגין אי מניעת עישון במקומות ציבוריים בעילה של קשר בין עוסק ללקוח בחוק הגנת הצרכן. התביעה הידועה שבהן היא פס"ד </w:t>
      </w:r>
      <w:proofErr w:type="spellStart"/>
      <w:r w:rsidRPr="00FD724B">
        <w:rPr>
          <w:rFonts w:hint="cs"/>
          <w:b/>
          <w:bCs/>
          <w:rtl/>
        </w:rPr>
        <w:t>ליטבין</w:t>
      </w:r>
      <w:proofErr w:type="spellEnd"/>
      <w:r w:rsidRPr="00FD724B">
        <w:rPr>
          <w:rFonts w:hint="cs"/>
          <w:b/>
          <w:bCs/>
          <w:rtl/>
        </w:rPr>
        <w:t xml:space="preserve"> נ</w:t>
      </w:r>
      <w:r w:rsidR="00FD724B">
        <w:rPr>
          <w:rFonts w:hint="cs"/>
          <w:b/>
          <w:bCs/>
          <w:rtl/>
        </w:rPr>
        <w:t>'</w:t>
      </w:r>
      <w:r w:rsidRPr="00FD724B">
        <w:rPr>
          <w:rFonts w:hint="cs"/>
          <w:b/>
          <w:bCs/>
          <w:rtl/>
        </w:rPr>
        <w:t xml:space="preserve"> בלה </w:t>
      </w:r>
      <w:proofErr w:type="spellStart"/>
      <w:r w:rsidRPr="00FD724B">
        <w:rPr>
          <w:rFonts w:hint="cs"/>
          <w:b/>
          <w:bCs/>
          <w:rtl/>
        </w:rPr>
        <w:t>שלומקינס</w:t>
      </w:r>
      <w:proofErr w:type="spellEnd"/>
      <w:r>
        <w:rPr>
          <w:rFonts w:hint="cs"/>
          <w:rtl/>
        </w:rPr>
        <w:t xml:space="preserve"> (ת"צ (מחוזי מרכז) 4398-09-08 (</w:t>
      </w:r>
      <w:r w:rsidR="00FD724B">
        <w:rPr>
          <w:rFonts w:hint="cs"/>
          <w:rtl/>
        </w:rPr>
        <w:t>ניתן ביום</w:t>
      </w:r>
      <w:r>
        <w:rPr>
          <w:rFonts w:hint="cs"/>
          <w:rtl/>
        </w:rPr>
        <w:t xml:space="preserve">, 30.01.2011)), שבו נפסקו 90,000 שקלים חדשים פיצויים לטובת הציבור לאגודה למלחמה בסרטן, ובערעור לבית המשפט העליון הוגדל סכום הפיצויים לטובת הציבור ל-1.16 מיליון שקלים חדשים. בית המשפט העליון קבע בשנת 2015 בפרשת אפרתי נ. אספרסו בר (ת"צ (מחוזי ת"א) 37353-04-12 </w:t>
      </w:r>
      <w:r w:rsidRPr="00FD724B">
        <w:rPr>
          <w:rFonts w:hint="cs"/>
          <w:b/>
          <w:bCs/>
          <w:rtl/>
        </w:rPr>
        <w:t xml:space="preserve">זהבה הדר אפרתי נ' </w:t>
      </w:r>
      <w:proofErr w:type="spellStart"/>
      <w:r w:rsidRPr="00FD724B">
        <w:rPr>
          <w:rFonts w:hint="cs"/>
          <w:b/>
          <w:bCs/>
          <w:rtl/>
        </w:rPr>
        <w:t>י.ע.ד</w:t>
      </w:r>
      <w:proofErr w:type="spellEnd"/>
      <w:r w:rsidRPr="00FD724B">
        <w:rPr>
          <w:rFonts w:hint="cs"/>
          <w:b/>
          <w:bCs/>
          <w:rtl/>
        </w:rPr>
        <w:t>. אספרסו בר בע"מ</w:t>
      </w:r>
      <w:r>
        <w:rPr>
          <w:rFonts w:hint="cs"/>
          <w:rtl/>
        </w:rPr>
        <w:t xml:space="preserve"> (</w:t>
      </w:r>
      <w:r w:rsidR="00FD724B">
        <w:rPr>
          <w:rFonts w:hint="cs"/>
          <w:rtl/>
        </w:rPr>
        <w:t>ניתן ביום</w:t>
      </w:r>
      <w:r>
        <w:rPr>
          <w:rFonts w:hint="cs"/>
          <w:rtl/>
        </w:rPr>
        <w:t>, 11.12.2013)) קביעה עקרונית, כי תובענה ייצוגית היא דרך ראויה והולמת לאכיפת האיסור על עישון במקומות ציבוריים. מוצע לעגן בחוק הלכה זו ולהקל על הגשתה בפטור מאגרה, כשהאינטרס הציבורי בכך הוא החיסכון הרב בעבודת פיקוח של פקחים בשכר.</w:t>
      </w:r>
    </w:p>
    <w:p w14:paraId="4D399BBB" w14:textId="77777777" w:rsidR="00140569" w:rsidRDefault="00140569" w:rsidP="00140569">
      <w:pPr>
        <w:pStyle w:val="Hesber"/>
        <w:rPr>
          <w:rtl/>
        </w:rPr>
      </w:pPr>
    </w:p>
    <w:p w14:paraId="051E8D72" w14:textId="77777777" w:rsidR="00D53ECC" w:rsidRPr="00D73212" w:rsidRDefault="00D53ECC" w:rsidP="00D53ECC">
      <w:pPr>
        <w:pStyle w:val="Hesber"/>
        <w:rPr>
          <w:color w:val="auto"/>
          <w:rtl/>
          <w:lang w:eastAsia="en-US"/>
        </w:rPr>
      </w:pPr>
      <w:r w:rsidRPr="00D73212">
        <w:rPr>
          <w:color w:val="auto"/>
          <w:rtl/>
          <w:lang w:eastAsia="en-US"/>
        </w:rPr>
        <w:t>---------------------------------</w:t>
      </w:r>
    </w:p>
    <w:p w14:paraId="0024FADA" w14:textId="77777777" w:rsidR="00D53ECC" w:rsidRPr="00D73212" w:rsidRDefault="00D53ECC" w:rsidP="00D53ECC">
      <w:pPr>
        <w:pStyle w:val="Hesber"/>
        <w:rPr>
          <w:color w:val="auto"/>
          <w:rtl/>
          <w:lang w:eastAsia="en-US"/>
        </w:rPr>
      </w:pPr>
      <w:r w:rsidRPr="00D73212">
        <w:rPr>
          <w:rFonts w:hint="cs"/>
          <w:color w:val="auto"/>
          <w:rtl/>
          <w:lang w:eastAsia="en-US"/>
        </w:rPr>
        <w:t>הוגשה</w:t>
      </w:r>
      <w:r w:rsidRPr="00D73212">
        <w:rPr>
          <w:color w:val="auto"/>
          <w:rtl/>
          <w:lang w:eastAsia="en-US"/>
        </w:rPr>
        <w:t xml:space="preserve"> </w:t>
      </w:r>
      <w:r w:rsidRPr="00D73212">
        <w:rPr>
          <w:rFonts w:hint="cs"/>
          <w:color w:val="auto"/>
          <w:rtl/>
          <w:lang w:eastAsia="en-US"/>
        </w:rPr>
        <w:t>ליו</w:t>
      </w:r>
      <w:r w:rsidRPr="00D73212">
        <w:rPr>
          <w:color w:val="auto"/>
          <w:rtl/>
          <w:lang w:eastAsia="en-US"/>
        </w:rPr>
        <w:t>"</w:t>
      </w:r>
      <w:r w:rsidRPr="00D73212">
        <w:rPr>
          <w:rFonts w:hint="cs"/>
          <w:color w:val="auto"/>
          <w:rtl/>
          <w:lang w:eastAsia="en-US"/>
        </w:rPr>
        <w:t>ר</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והסגנים</w:t>
      </w:r>
    </w:p>
    <w:p w14:paraId="25B825A9" w14:textId="77777777" w:rsidR="00D53ECC" w:rsidRPr="00D73212" w:rsidRDefault="00D53ECC" w:rsidP="00D53ECC">
      <w:pPr>
        <w:pStyle w:val="Hesber"/>
        <w:rPr>
          <w:color w:val="auto"/>
          <w:rtl/>
          <w:lang w:eastAsia="en-US"/>
        </w:rPr>
      </w:pPr>
      <w:r w:rsidRPr="00D73212">
        <w:rPr>
          <w:rFonts w:hint="cs"/>
          <w:color w:val="auto"/>
          <w:rtl/>
          <w:lang w:eastAsia="en-US"/>
        </w:rPr>
        <w:t>והונחה</w:t>
      </w:r>
      <w:r w:rsidRPr="00D73212">
        <w:rPr>
          <w:color w:val="auto"/>
          <w:rtl/>
          <w:lang w:eastAsia="en-US"/>
        </w:rPr>
        <w:t xml:space="preserve"> </w:t>
      </w:r>
      <w:r w:rsidRPr="00D73212">
        <w:rPr>
          <w:rFonts w:hint="cs"/>
          <w:color w:val="auto"/>
          <w:rtl/>
          <w:lang w:eastAsia="en-US"/>
        </w:rPr>
        <w:t>על</w:t>
      </w:r>
      <w:r w:rsidRPr="00D73212">
        <w:rPr>
          <w:color w:val="auto"/>
          <w:rtl/>
          <w:lang w:eastAsia="en-US"/>
        </w:rPr>
        <w:t xml:space="preserve"> </w:t>
      </w:r>
      <w:r w:rsidRPr="00D73212">
        <w:rPr>
          <w:rFonts w:hint="cs"/>
          <w:color w:val="auto"/>
          <w:rtl/>
          <w:lang w:eastAsia="en-US"/>
        </w:rPr>
        <w:t>שולחן</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ביום</w:t>
      </w:r>
    </w:p>
    <w:p w14:paraId="2BB3F371" w14:textId="276EB943" w:rsidR="00861131" w:rsidRDefault="00D53ECC" w:rsidP="00D53ECC">
      <w:pPr>
        <w:pStyle w:val="Hesber"/>
        <w:rPr>
          <w:sz w:val="30"/>
          <w:szCs w:val="24"/>
          <w:rtl/>
        </w:rPr>
      </w:pPr>
      <w:r>
        <w:rPr>
          <w:rFonts w:hint="cs"/>
          <w:color w:val="auto"/>
          <w:rtl/>
          <w:lang w:eastAsia="en-US"/>
        </w:rPr>
        <w:t>י"ח באדר</w:t>
      </w:r>
      <w:r w:rsidRPr="00D73212">
        <w:rPr>
          <w:color w:val="auto"/>
          <w:rtl/>
          <w:lang w:eastAsia="en-US"/>
        </w:rPr>
        <w:t xml:space="preserve"> </w:t>
      </w:r>
      <w:proofErr w:type="spellStart"/>
      <w:r w:rsidRPr="00D73212">
        <w:rPr>
          <w:rFonts w:hint="cs"/>
          <w:color w:val="auto"/>
          <w:rtl/>
          <w:lang w:eastAsia="en-US"/>
        </w:rPr>
        <w:t>התשע</w:t>
      </w:r>
      <w:r w:rsidRPr="00D73212">
        <w:rPr>
          <w:color w:val="auto"/>
          <w:rtl/>
          <w:lang w:eastAsia="en-US"/>
        </w:rPr>
        <w:t>"</w:t>
      </w:r>
      <w:r>
        <w:rPr>
          <w:rFonts w:hint="cs"/>
          <w:color w:val="auto"/>
          <w:rtl/>
          <w:lang w:eastAsia="en-US"/>
        </w:rPr>
        <w:t>ח</w:t>
      </w:r>
      <w:proofErr w:type="spellEnd"/>
      <w:r w:rsidRPr="00D73212">
        <w:rPr>
          <w:color w:val="auto"/>
          <w:rtl/>
          <w:lang w:eastAsia="en-US"/>
        </w:rPr>
        <w:t xml:space="preserve"> – </w:t>
      </w:r>
      <w:r>
        <w:rPr>
          <w:rFonts w:hint="cs"/>
          <w:color w:val="auto"/>
          <w:rtl/>
          <w:lang w:eastAsia="en-US"/>
        </w:rPr>
        <w:t>5.3</w:t>
      </w:r>
      <w:r w:rsidRPr="00D73212">
        <w:rPr>
          <w:color w:val="auto"/>
          <w:rtl/>
          <w:lang w:eastAsia="en-US"/>
        </w:rPr>
        <w:t>.</w:t>
      </w:r>
      <w:r>
        <w:rPr>
          <w:rFonts w:hint="cs"/>
          <w:color w:val="auto"/>
          <w:rtl/>
          <w:lang w:eastAsia="en-US"/>
        </w:rPr>
        <w:t>18</w:t>
      </w:r>
    </w:p>
    <w:sectPr w:rsidR="00861131" w:rsidSect="001207F8">
      <w:footerReference w:type="even" r:id="rId13"/>
      <w:footerReference w:type="default" r:id="rId14"/>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88A69" w14:textId="77777777" w:rsidR="00C57C6F" w:rsidRDefault="00C57C6F">
      <w:r>
        <w:separator/>
      </w:r>
    </w:p>
  </w:endnote>
  <w:endnote w:type="continuationSeparator" w:id="0">
    <w:p w14:paraId="318F26FB" w14:textId="77777777" w:rsidR="00C57C6F" w:rsidRDefault="00C57C6F">
      <w:r>
        <w:continuationSeparator/>
      </w:r>
    </w:p>
  </w:endnote>
  <w:endnote w:type="continuationNotice" w:id="1">
    <w:p w14:paraId="6BE48FD5" w14:textId="77777777" w:rsidR="00C57C6F" w:rsidRDefault="00C57C6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adasa Roso SL">
    <w:altName w:val="Times New Roman"/>
    <w:charset w:val="00"/>
    <w:family w:val="roman"/>
    <w:pitch w:val="variable"/>
    <w:sig w:usb0="80001827" w:usb1="5000004A" w:usb2="00000020" w:usb3="00000000" w:csb0="00000021" w:csb1="00000000"/>
  </w:font>
  <w:font w:name="MS Mincho">
    <w:altName w:val="MS Gothic"/>
    <w:panose1 w:val="02020609040205080304"/>
    <w:charset w:val="80"/>
    <w:family w:val="roman"/>
    <w:notTrueType/>
    <w:pitch w:val="fixed"/>
    <w:sig w:usb0="00000000" w:usb1="08070000" w:usb2="00000010" w:usb3="00000000" w:csb0="0002000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C57C6F" w:rsidRDefault="00C57C6F" w:rsidP="001207F8">
    <w:pPr>
      <w:pStyle w:val="ab"/>
      <w:framePr w:wrap="around" w:vAnchor="text" w:hAnchor="text" w:xAlign="center" w:y="1"/>
      <w:rPr>
        <w:rStyle w:val="ae"/>
      </w:rPr>
    </w:pPr>
    <w:r>
      <w:rPr>
        <w:rStyle w:val="ae"/>
        <w:rtl/>
      </w:rPr>
      <w:fldChar w:fldCharType="begin"/>
    </w:r>
    <w:r>
      <w:rPr>
        <w:rStyle w:val="ae"/>
      </w:rPr>
      <w:instrText xml:space="preserve">PAGE  </w:instrText>
    </w:r>
    <w:r>
      <w:rPr>
        <w:rStyle w:val="ae"/>
        <w:rtl/>
      </w:rPr>
      <w:fldChar w:fldCharType="end"/>
    </w:r>
  </w:p>
  <w:p w14:paraId="7F6961D6" w14:textId="77777777" w:rsidR="00C57C6F" w:rsidRDefault="00C57C6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033ED0DA" w:rsidR="00C57C6F" w:rsidRDefault="00C57C6F" w:rsidP="001207F8">
    <w:pPr>
      <w:pStyle w:val="ab"/>
      <w:framePr w:wrap="around" w:vAnchor="text" w:hAnchor="text" w:xAlign="center" w:y="1"/>
      <w:rPr>
        <w:rStyle w:val="ae"/>
      </w:rPr>
    </w:pPr>
    <w:r>
      <w:rPr>
        <w:rStyle w:val="ae"/>
        <w:rtl/>
      </w:rPr>
      <w:fldChar w:fldCharType="begin"/>
    </w:r>
    <w:r>
      <w:rPr>
        <w:rStyle w:val="ae"/>
      </w:rPr>
      <w:instrText xml:space="preserve">PAGE  </w:instrText>
    </w:r>
    <w:r>
      <w:rPr>
        <w:rStyle w:val="ae"/>
        <w:rtl/>
      </w:rPr>
      <w:fldChar w:fldCharType="separate"/>
    </w:r>
    <w:r w:rsidR="00D9482E">
      <w:rPr>
        <w:rStyle w:val="ae"/>
        <w:noProof/>
        <w:rtl/>
      </w:rPr>
      <w:t>5</w:t>
    </w:r>
    <w:r>
      <w:rPr>
        <w:rStyle w:val="ae"/>
        <w:rtl/>
      </w:rPr>
      <w:fldChar w:fldCharType="end"/>
    </w:r>
  </w:p>
  <w:p w14:paraId="7F6961D8" w14:textId="77777777" w:rsidR="00C57C6F" w:rsidRDefault="00C57C6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B9F2" w14:textId="77777777" w:rsidR="00C57C6F" w:rsidRDefault="00C57C6F">
      <w:r>
        <w:separator/>
      </w:r>
    </w:p>
  </w:footnote>
  <w:footnote w:type="continuationSeparator" w:id="0">
    <w:p w14:paraId="3DB92342" w14:textId="77777777" w:rsidR="00C57C6F" w:rsidRDefault="00C57C6F">
      <w:r>
        <w:continuationSeparator/>
      </w:r>
    </w:p>
  </w:footnote>
  <w:footnote w:type="continuationNotice" w:id="1">
    <w:p w14:paraId="16009878" w14:textId="77777777" w:rsidR="00C57C6F" w:rsidRDefault="00C57C6F"/>
  </w:footnote>
  <w:footnote w:id="2">
    <w:p w14:paraId="3A536CEE" w14:textId="77777777" w:rsidR="00C57C6F" w:rsidRDefault="00C57C6F" w:rsidP="00027DEB">
      <w:pPr>
        <w:pStyle w:val="a5"/>
        <w:rPr>
          <w:rtl/>
        </w:rPr>
      </w:pPr>
      <w:r>
        <w:rPr>
          <w:rStyle w:val="a7"/>
        </w:rPr>
        <w:footnoteRef/>
      </w:r>
      <w:r>
        <w:rPr>
          <w:rtl/>
        </w:rPr>
        <w:t xml:space="preserve"> </w:t>
      </w:r>
      <w:r>
        <w:rPr>
          <w:rFonts w:hint="cs"/>
          <w:rtl/>
        </w:rPr>
        <w:t xml:space="preserve">ס"ח </w:t>
      </w:r>
      <w:proofErr w:type="spellStart"/>
      <w:r>
        <w:rPr>
          <w:rFonts w:hint="cs"/>
          <w:rtl/>
        </w:rPr>
        <w:t>התשמ"ג</w:t>
      </w:r>
      <w:proofErr w:type="spellEnd"/>
      <w:r>
        <w:rPr>
          <w:rFonts w:hint="cs"/>
          <w:rtl/>
        </w:rPr>
        <w:t>, עמ' 148.</w:t>
      </w:r>
    </w:p>
  </w:footnote>
  <w:footnote w:id="3">
    <w:p w14:paraId="21BDB520" w14:textId="77777777" w:rsidR="00C57C6F" w:rsidRDefault="00C57C6F" w:rsidP="00027DEB">
      <w:pPr>
        <w:pStyle w:val="a5"/>
      </w:pPr>
      <w:r>
        <w:rPr>
          <w:rStyle w:val="a7"/>
        </w:rPr>
        <w:footnoteRef/>
      </w:r>
      <w:r>
        <w:rPr>
          <w:rtl/>
        </w:rPr>
        <w:t xml:space="preserve"> </w:t>
      </w:r>
      <w:proofErr w:type="spellStart"/>
      <w:r>
        <w:rPr>
          <w:rFonts w:hint="cs"/>
          <w:rtl/>
        </w:rPr>
        <w:t>ק"ת</w:t>
      </w:r>
      <w:proofErr w:type="spellEnd"/>
      <w:r>
        <w:rPr>
          <w:rFonts w:hint="cs"/>
          <w:rtl/>
        </w:rPr>
        <w:t xml:space="preserve"> </w:t>
      </w:r>
      <w:proofErr w:type="spellStart"/>
      <w:r>
        <w:rPr>
          <w:rFonts w:hint="cs"/>
          <w:rtl/>
        </w:rPr>
        <w:t>התשס"א</w:t>
      </w:r>
      <w:proofErr w:type="spellEnd"/>
      <w:r>
        <w:rPr>
          <w:rFonts w:hint="cs"/>
          <w:rtl/>
        </w:rPr>
        <w:t>, עמ' 672.</w:t>
      </w:r>
    </w:p>
  </w:footnote>
  <w:footnote w:id="4">
    <w:p w14:paraId="59893C57" w14:textId="77777777" w:rsidR="00C57C6F" w:rsidRDefault="00C57C6F" w:rsidP="00C57C6F">
      <w:pPr>
        <w:pStyle w:val="a5"/>
      </w:pPr>
      <w:r>
        <w:rPr>
          <w:rStyle w:val="a7"/>
        </w:rPr>
        <w:footnoteRef/>
      </w:r>
      <w:r>
        <w:rPr>
          <w:rtl/>
        </w:rPr>
        <w:t xml:space="preserve"> </w:t>
      </w:r>
      <w:r>
        <w:rPr>
          <w:rFonts w:hint="cs"/>
          <w:rtl/>
        </w:rPr>
        <w:t xml:space="preserve">ס"ח </w:t>
      </w:r>
      <w:proofErr w:type="spellStart"/>
      <w:r>
        <w:rPr>
          <w:rFonts w:hint="cs"/>
          <w:rtl/>
        </w:rPr>
        <w:t>התשמ"ב</w:t>
      </w:r>
      <w:proofErr w:type="spellEnd"/>
      <w:r>
        <w:rPr>
          <w:rFonts w:hint="cs"/>
          <w:rtl/>
        </w:rPr>
        <w:t>, עמ' 43.</w:t>
      </w:r>
    </w:p>
  </w:footnote>
  <w:footnote w:id="5">
    <w:p w14:paraId="3DE4FBE5" w14:textId="77777777" w:rsidR="00C57C6F" w:rsidRDefault="00C57C6F" w:rsidP="00C57C6F">
      <w:pPr>
        <w:pStyle w:val="a5"/>
      </w:pPr>
      <w:r>
        <w:rPr>
          <w:rStyle w:val="a7"/>
        </w:rPr>
        <w:footnoteRef/>
      </w:r>
      <w:r>
        <w:rPr>
          <w:rtl/>
        </w:rPr>
        <w:t xml:space="preserve"> </w:t>
      </w:r>
      <w:r>
        <w:rPr>
          <w:rFonts w:hint="cs"/>
          <w:rtl/>
        </w:rPr>
        <w:t xml:space="preserve">ס"ח </w:t>
      </w:r>
      <w:proofErr w:type="spellStart"/>
      <w:r>
        <w:rPr>
          <w:rFonts w:hint="cs"/>
          <w:rtl/>
        </w:rPr>
        <w:t>התשל"ז</w:t>
      </w:r>
      <w:proofErr w:type="spellEnd"/>
      <w:r>
        <w:rPr>
          <w:rFonts w:hint="cs"/>
          <w:rtl/>
        </w:rPr>
        <w:t>, עמ' 226.</w:t>
      </w:r>
    </w:p>
  </w:footnote>
  <w:footnote w:id="6">
    <w:p w14:paraId="7C1A1B5F" w14:textId="77777777" w:rsidR="00C57C6F" w:rsidRDefault="00C57C6F" w:rsidP="00027DEB">
      <w:pPr>
        <w:pStyle w:val="a5"/>
        <w:rPr>
          <w:rtl/>
        </w:rPr>
      </w:pPr>
      <w:r>
        <w:rPr>
          <w:rStyle w:val="a7"/>
        </w:rPr>
        <w:footnoteRef/>
      </w:r>
      <w:r>
        <w:rPr>
          <w:rtl/>
        </w:rPr>
        <w:t xml:space="preserve"> </w:t>
      </w:r>
      <w:r>
        <w:rPr>
          <w:rFonts w:hint="cs"/>
          <w:rtl/>
        </w:rPr>
        <w:t xml:space="preserve">ס"ח </w:t>
      </w:r>
      <w:proofErr w:type="spellStart"/>
      <w:r>
        <w:rPr>
          <w:rFonts w:hint="cs"/>
          <w:rtl/>
        </w:rPr>
        <w:t>התשכ"ח</w:t>
      </w:r>
      <w:proofErr w:type="spellEnd"/>
      <w:r>
        <w:rPr>
          <w:rFonts w:hint="cs"/>
          <w:rtl/>
        </w:rPr>
        <w:t>, עמ' 204.</w:t>
      </w:r>
    </w:p>
  </w:footnote>
  <w:footnote w:id="7">
    <w:p w14:paraId="10990C2B" w14:textId="77777777" w:rsidR="00C57C6F" w:rsidRDefault="00C57C6F" w:rsidP="00027DEB">
      <w:pPr>
        <w:pStyle w:val="a5"/>
      </w:pPr>
      <w:r>
        <w:rPr>
          <w:rStyle w:val="a7"/>
        </w:rPr>
        <w:footnoteRef/>
      </w:r>
      <w:r>
        <w:rPr>
          <w:rtl/>
        </w:rPr>
        <w:t xml:space="preserve"> </w:t>
      </w:r>
      <w:r>
        <w:rPr>
          <w:rFonts w:hint="cs"/>
          <w:rtl/>
        </w:rPr>
        <w:t xml:space="preserve">ס"ח </w:t>
      </w:r>
      <w:proofErr w:type="spellStart"/>
      <w:r>
        <w:rPr>
          <w:rFonts w:hint="cs"/>
          <w:rtl/>
        </w:rPr>
        <w:t>התשנ"ה</w:t>
      </w:r>
      <w:proofErr w:type="spellEnd"/>
      <w:r>
        <w:rPr>
          <w:rFonts w:hint="cs"/>
          <w:rtl/>
        </w:rPr>
        <w:t>, עמ' 366.</w:t>
      </w:r>
    </w:p>
  </w:footnote>
  <w:footnote w:id="8">
    <w:p w14:paraId="1777AA43" w14:textId="71F75930" w:rsidR="00E0235C" w:rsidRDefault="00E0235C" w:rsidP="00E0235C">
      <w:pPr>
        <w:pStyle w:val="a5"/>
      </w:pPr>
      <w:r>
        <w:rPr>
          <w:rStyle w:val="a7"/>
        </w:rPr>
        <w:footnoteRef/>
      </w:r>
      <w:r>
        <w:rPr>
          <w:rtl/>
        </w:rPr>
        <w:t xml:space="preserve"> </w:t>
      </w:r>
      <w:r>
        <w:rPr>
          <w:rFonts w:hint="cs"/>
          <w:rtl/>
        </w:rPr>
        <w:t xml:space="preserve">ס"ח </w:t>
      </w:r>
      <w:proofErr w:type="spellStart"/>
      <w:r>
        <w:rPr>
          <w:rFonts w:hint="cs"/>
          <w:rtl/>
        </w:rPr>
        <w:t>התשכ"ט</w:t>
      </w:r>
      <w:proofErr w:type="spellEnd"/>
      <w:r>
        <w:rPr>
          <w:rFonts w:hint="cs"/>
          <w:rtl/>
        </w:rPr>
        <w:t>, עמ' 259.</w:t>
      </w:r>
    </w:p>
  </w:footnote>
  <w:footnote w:id="9">
    <w:p w14:paraId="41D735C6" w14:textId="77777777" w:rsidR="00E0235C" w:rsidRDefault="00E0235C" w:rsidP="00027DEB">
      <w:pPr>
        <w:pStyle w:val="a5"/>
      </w:pPr>
      <w:r>
        <w:rPr>
          <w:rStyle w:val="a7"/>
        </w:rPr>
        <w:footnoteRef/>
      </w:r>
      <w:r>
        <w:rPr>
          <w:rtl/>
        </w:rPr>
        <w:t xml:space="preserve"> </w:t>
      </w:r>
      <w:r>
        <w:rPr>
          <w:rFonts w:hint="cs"/>
          <w:rtl/>
        </w:rPr>
        <w:t xml:space="preserve">ס"ח </w:t>
      </w:r>
      <w:proofErr w:type="spellStart"/>
      <w:r>
        <w:rPr>
          <w:rFonts w:hint="cs"/>
          <w:rtl/>
        </w:rPr>
        <w:t>התשס"ו</w:t>
      </w:r>
      <w:proofErr w:type="spellEnd"/>
      <w:r>
        <w:rPr>
          <w:rFonts w:hint="cs"/>
          <w:rtl/>
        </w:rPr>
        <w:t>, עמ' 264.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87EAE"/>
    <w:multiLevelType w:val="hybridMultilevel"/>
    <w:tmpl w:val="64A48002"/>
    <w:lvl w:ilvl="0" w:tplc="D3D4E8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926901"/>
    <w:multiLevelType w:val="hybridMultilevel"/>
    <w:tmpl w:val="CA98C3A2"/>
    <w:lvl w:ilvl="0" w:tplc="9E06F314">
      <w:start w:val="1"/>
      <w:numFmt w:val="decimal"/>
      <w:lvlText w:val="(%1)"/>
      <w:lvlJc w:val="left"/>
      <w:pPr>
        <w:ind w:left="3235" w:hanging="360"/>
      </w:pPr>
      <w:rPr>
        <w:rFonts w:hint="default"/>
      </w:rPr>
    </w:lvl>
    <w:lvl w:ilvl="1" w:tplc="04090019" w:tentative="1">
      <w:start w:val="1"/>
      <w:numFmt w:val="lowerLetter"/>
      <w:lvlText w:val="%2."/>
      <w:lvlJc w:val="left"/>
      <w:pPr>
        <w:ind w:left="3955" w:hanging="360"/>
      </w:pPr>
    </w:lvl>
    <w:lvl w:ilvl="2" w:tplc="0409001B" w:tentative="1">
      <w:start w:val="1"/>
      <w:numFmt w:val="lowerRoman"/>
      <w:lvlText w:val="%3."/>
      <w:lvlJc w:val="right"/>
      <w:pPr>
        <w:ind w:left="4675" w:hanging="180"/>
      </w:pPr>
    </w:lvl>
    <w:lvl w:ilvl="3" w:tplc="0409000F" w:tentative="1">
      <w:start w:val="1"/>
      <w:numFmt w:val="decimal"/>
      <w:lvlText w:val="%4."/>
      <w:lvlJc w:val="left"/>
      <w:pPr>
        <w:ind w:left="5395" w:hanging="360"/>
      </w:pPr>
    </w:lvl>
    <w:lvl w:ilvl="4" w:tplc="04090019" w:tentative="1">
      <w:start w:val="1"/>
      <w:numFmt w:val="lowerLetter"/>
      <w:lvlText w:val="%5."/>
      <w:lvlJc w:val="left"/>
      <w:pPr>
        <w:ind w:left="6115" w:hanging="360"/>
      </w:pPr>
    </w:lvl>
    <w:lvl w:ilvl="5" w:tplc="0409001B" w:tentative="1">
      <w:start w:val="1"/>
      <w:numFmt w:val="lowerRoman"/>
      <w:lvlText w:val="%6."/>
      <w:lvlJc w:val="right"/>
      <w:pPr>
        <w:ind w:left="6835" w:hanging="180"/>
      </w:pPr>
    </w:lvl>
    <w:lvl w:ilvl="6" w:tplc="0409000F" w:tentative="1">
      <w:start w:val="1"/>
      <w:numFmt w:val="decimal"/>
      <w:lvlText w:val="%7."/>
      <w:lvlJc w:val="left"/>
      <w:pPr>
        <w:ind w:left="7555" w:hanging="360"/>
      </w:pPr>
    </w:lvl>
    <w:lvl w:ilvl="7" w:tplc="04090019" w:tentative="1">
      <w:start w:val="1"/>
      <w:numFmt w:val="lowerLetter"/>
      <w:lvlText w:val="%8."/>
      <w:lvlJc w:val="left"/>
      <w:pPr>
        <w:ind w:left="8275" w:hanging="360"/>
      </w:pPr>
    </w:lvl>
    <w:lvl w:ilvl="8" w:tplc="0409001B" w:tentative="1">
      <w:start w:val="1"/>
      <w:numFmt w:val="lowerRoman"/>
      <w:lvlText w:val="%9."/>
      <w:lvlJc w:val="right"/>
      <w:pPr>
        <w:ind w:left="8995" w:hanging="180"/>
      </w:pPr>
    </w:lvl>
  </w:abstractNum>
  <w:abstractNum w:abstractNumId="13"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790A35"/>
    <w:multiLevelType w:val="hybridMultilevel"/>
    <w:tmpl w:val="40C406BA"/>
    <w:lvl w:ilvl="0" w:tplc="67CC655E">
      <w:start w:val="1"/>
      <w:numFmt w:val="decimal"/>
      <w:lvlText w:val="(%1)"/>
      <w:lvlJc w:val="left"/>
      <w:pPr>
        <w:ind w:left="3235" w:hanging="360"/>
      </w:pPr>
      <w:rPr>
        <w:rFonts w:ascii="Hadasa Roso SL" w:eastAsia="MS Mincho" w:hAnsi="Hadasa Roso SL" w:cs="David"/>
      </w:rPr>
    </w:lvl>
    <w:lvl w:ilvl="1" w:tplc="04090019" w:tentative="1">
      <w:start w:val="1"/>
      <w:numFmt w:val="lowerLetter"/>
      <w:lvlText w:val="%2."/>
      <w:lvlJc w:val="left"/>
      <w:pPr>
        <w:ind w:left="3955" w:hanging="360"/>
      </w:pPr>
    </w:lvl>
    <w:lvl w:ilvl="2" w:tplc="0409001B" w:tentative="1">
      <w:start w:val="1"/>
      <w:numFmt w:val="lowerRoman"/>
      <w:lvlText w:val="%3."/>
      <w:lvlJc w:val="right"/>
      <w:pPr>
        <w:ind w:left="4675" w:hanging="180"/>
      </w:pPr>
    </w:lvl>
    <w:lvl w:ilvl="3" w:tplc="0409000F" w:tentative="1">
      <w:start w:val="1"/>
      <w:numFmt w:val="decimal"/>
      <w:lvlText w:val="%4."/>
      <w:lvlJc w:val="left"/>
      <w:pPr>
        <w:ind w:left="5395" w:hanging="360"/>
      </w:pPr>
    </w:lvl>
    <w:lvl w:ilvl="4" w:tplc="04090019" w:tentative="1">
      <w:start w:val="1"/>
      <w:numFmt w:val="lowerLetter"/>
      <w:lvlText w:val="%5."/>
      <w:lvlJc w:val="left"/>
      <w:pPr>
        <w:ind w:left="6115" w:hanging="360"/>
      </w:pPr>
    </w:lvl>
    <w:lvl w:ilvl="5" w:tplc="0409001B" w:tentative="1">
      <w:start w:val="1"/>
      <w:numFmt w:val="lowerRoman"/>
      <w:lvlText w:val="%6."/>
      <w:lvlJc w:val="right"/>
      <w:pPr>
        <w:ind w:left="6835" w:hanging="180"/>
      </w:pPr>
    </w:lvl>
    <w:lvl w:ilvl="6" w:tplc="0409000F" w:tentative="1">
      <w:start w:val="1"/>
      <w:numFmt w:val="decimal"/>
      <w:lvlText w:val="%7."/>
      <w:lvlJc w:val="left"/>
      <w:pPr>
        <w:ind w:left="7555" w:hanging="360"/>
      </w:pPr>
    </w:lvl>
    <w:lvl w:ilvl="7" w:tplc="04090019" w:tentative="1">
      <w:start w:val="1"/>
      <w:numFmt w:val="lowerLetter"/>
      <w:lvlText w:val="%8."/>
      <w:lvlJc w:val="left"/>
      <w:pPr>
        <w:ind w:left="8275" w:hanging="360"/>
      </w:pPr>
    </w:lvl>
    <w:lvl w:ilvl="8" w:tplc="0409001B" w:tentative="1">
      <w:start w:val="1"/>
      <w:numFmt w:val="lowerRoman"/>
      <w:lvlText w:val="%9."/>
      <w:lvlJc w:val="right"/>
      <w:pPr>
        <w:ind w:left="8995" w:hanging="180"/>
      </w:pPr>
    </w:lvl>
  </w:abstractNum>
  <w:abstractNum w:abstractNumId="15" w15:restartNumberingAfterBreak="0">
    <w:nsid w:val="439616C9"/>
    <w:multiLevelType w:val="hybridMultilevel"/>
    <w:tmpl w:val="798C5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AC00A0"/>
    <w:multiLevelType w:val="hybridMultilevel"/>
    <w:tmpl w:val="AE0C9BE8"/>
    <w:lvl w:ilvl="0" w:tplc="88EEA05E">
      <w:start w:val="1"/>
      <w:numFmt w:val="hebrew1"/>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7" w15:restartNumberingAfterBreak="0">
    <w:nsid w:val="59F0033D"/>
    <w:multiLevelType w:val="hybridMultilevel"/>
    <w:tmpl w:val="D95646C0"/>
    <w:lvl w:ilvl="0" w:tplc="26F25614">
      <w:start w:val="1"/>
      <w:numFmt w:val="hebrew1"/>
      <w:lvlText w:val="(%1)"/>
      <w:lvlJc w:val="left"/>
      <w:pPr>
        <w:ind w:left="990" w:hanging="63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E121A1"/>
    <w:multiLevelType w:val="hybridMultilevel"/>
    <w:tmpl w:val="C12E7A82"/>
    <w:lvl w:ilvl="0" w:tplc="5832E94C">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C2521C"/>
    <w:multiLevelType w:val="hybridMultilevel"/>
    <w:tmpl w:val="77E874F2"/>
    <w:lvl w:ilvl="0" w:tplc="D3D4E8B2">
      <w:start w:val="1"/>
      <w:numFmt w:val="decimal"/>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20" w15:restartNumberingAfterBreak="0">
    <w:nsid w:val="66842BF6"/>
    <w:multiLevelType w:val="hybridMultilevel"/>
    <w:tmpl w:val="ACFCAFAA"/>
    <w:lvl w:ilvl="0" w:tplc="2BE44F18">
      <w:start w:val="20"/>
      <w:numFmt w:val="bullet"/>
      <w:lvlText w:val="-"/>
      <w:lvlJc w:val="left"/>
      <w:pPr>
        <w:ind w:left="700" w:hanging="360"/>
      </w:pPr>
      <w:rPr>
        <w:rFonts w:ascii="Arial" w:eastAsia="Arial Unicode MS" w:hAnsi="Arial" w:cs="David" w:hint="default"/>
        <w:sz w:val="26"/>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1" w15:restartNumberingAfterBreak="0">
    <w:nsid w:val="6C0B40AA"/>
    <w:multiLevelType w:val="hybridMultilevel"/>
    <w:tmpl w:val="AB380C06"/>
    <w:lvl w:ilvl="0" w:tplc="050AC784">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2" w15:restartNumberingAfterBreak="0">
    <w:nsid w:val="6C2D511D"/>
    <w:multiLevelType w:val="hybridMultilevel"/>
    <w:tmpl w:val="60BC6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021303"/>
    <w:multiLevelType w:val="hybridMultilevel"/>
    <w:tmpl w:val="11486A08"/>
    <w:lvl w:ilvl="0" w:tplc="46B6373A">
      <w:start w:val="2"/>
      <w:numFmt w:val="decimal"/>
      <w:lvlText w:val="(%1)"/>
      <w:lvlJc w:val="left"/>
      <w:pPr>
        <w:tabs>
          <w:tab w:val="num" w:pos="990"/>
        </w:tabs>
        <w:ind w:left="990" w:hanging="63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ECA6DF3"/>
    <w:multiLevelType w:val="hybridMultilevel"/>
    <w:tmpl w:val="C51AE80E"/>
    <w:lvl w:ilvl="0" w:tplc="09AEC86E">
      <w:start w:val="1"/>
      <w:numFmt w:val="hebrew1"/>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4"/>
  </w:num>
  <w:num w:numId="13">
    <w:abstractNumId w:val="11"/>
  </w:num>
  <w:num w:numId="14">
    <w:abstractNumId w:val="25"/>
  </w:num>
  <w:num w:numId="15">
    <w:abstractNumId w:val="14"/>
  </w:num>
  <w:num w:numId="16">
    <w:abstractNumId w:val="12"/>
  </w:num>
  <w:num w:numId="17">
    <w:abstractNumId w:val="18"/>
  </w:num>
  <w:num w:numId="18">
    <w:abstractNumId w:val="15"/>
  </w:num>
  <w:num w:numId="19">
    <w:abstractNumId w:val="10"/>
  </w:num>
  <w:num w:numId="20">
    <w:abstractNumId w:val="19"/>
  </w:num>
  <w:num w:numId="21">
    <w:abstractNumId w:val="16"/>
  </w:num>
  <w:num w:numId="22">
    <w:abstractNumId w:val="26"/>
  </w:num>
  <w:num w:numId="23">
    <w:abstractNumId w:val="22"/>
  </w:num>
  <w:num w:numId="24">
    <w:abstractNumId w:val="21"/>
  </w:num>
  <w:num w:numId="25">
    <w:abstractNumId w:val="17"/>
  </w:num>
  <w:num w:numId="26">
    <w:abstractNumId w:val="23"/>
  </w:num>
  <w:num w:numId="27">
    <w:abstractNumId w:val="20"/>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riginalName" w:val="tmp482240lsCopyOriginal.docx"/>
    <w:docVar w:name="StartMode" w:val="2"/>
  </w:docVars>
  <w:rsids>
    <w:rsidRoot w:val="00DB7060"/>
    <w:rsid w:val="0000131B"/>
    <w:rsid w:val="00015B27"/>
    <w:rsid w:val="00027DEB"/>
    <w:rsid w:val="00063A3E"/>
    <w:rsid w:val="00072CAC"/>
    <w:rsid w:val="0007681A"/>
    <w:rsid w:val="000A542E"/>
    <w:rsid w:val="000B7372"/>
    <w:rsid w:val="00102B6B"/>
    <w:rsid w:val="001052D4"/>
    <w:rsid w:val="0010644B"/>
    <w:rsid w:val="001207F8"/>
    <w:rsid w:val="00121924"/>
    <w:rsid w:val="001279A8"/>
    <w:rsid w:val="00140569"/>
    <w:rsid w:val="0014195F"/>
    <w:rsid w:val="00152609"/>
    <w:rsid w:val="00153E1B"/>
    <w:rsid w:val="001A0623"/>
    <w:rsid w:val="001A545A"/>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B7AC2"/>
    <w:rsid w:val="002C2E29"/>
    <w:rsid w:val="002C3041"/>
    <w:rsid w:val="002D1EE3"/>
    <w:rsid w:val="002F1D80"/>
    <w:rsid w:val="00302DEA"/>
    <w:rsid w:val="003232A2"/>
    <w:rsid w:val="00325C14"/>
    <w:rsid w:val="0036422C"/>
    <w:rsid w:val="003710F6"/>
    <w:rsid w:val="00386E88"/>
    <w:rsid w:val="00396585"/>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53C9D"/>
    <w:rsid w:val="00562A66"/>
    <w:rsid w:val="00596BD1"/>
    <w:rsid w:val="005B064E"/>
    <w:rsid w:val="005D51AE"/>
    <w:rsid w:val="0062674B"/>
    <w:rsid w:val="006363B2"/>
    <w:rsid w:val="00644940"/>
    <w:rsid w:val="006818A9"/>
    <w:rsid w:val="006A2D81"/>
    <w:rsid w:val="006C1D0D"/>
    <w:rsid w:val="0070601E"/>
    <w:rsid w:val="00712C72"/>
    <w:rsid w:val="00735FE9"/>
    <w:rsid w:val="00763CAA"/>
    <w:rsid w:val="00765F66"/>
    <w:rsid w:val="0078664F"/>
    <w:rsid w:val="007C3FA6"/>
    <w:rsid w:val="007D585A"/>
    <w:rsid w:val="007D5A12"/>
    <w:rsid w:val="007E59F9"/>
    <w:rsid w:val="00810BCD"/>
    <w:rsid w:val="00812C98"/>
    <w:rsid w:val="00814D92"/>
    <w:rsid w:val="0083181D"/>
    <w:rsid w:val="00843EB2"/>
    <w:rsid w:val="00861131"/>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A14672"/>
    <w:rsid w:val="00A26BD6"/>
    <w:rsid w:val="00A443CF"/>
    <w:rsid w:val="00A6611D"/>
    <w:rsid w:val="00A82CB7"/>
    <w:rsid w:val="00A942C1"/>
    <w:rsid w:val="00AA2F03"/>
    <w:rsid w:val="00AC36F7"/>
    <w:rsid w:val="00AC63A4"/>
    <w:rsid w:val="00AD239E"/>
    <w:rsid w:val="00B10265"/>
    <w:rsid w:val="00B16A99"/>
    <w:rsid w:val="00B21211"/>
    <w:rsid w:val="00B35784"/>
    <w:rsid w:val="00B733A7"/>
    <w:rsid w:val="00B75C91"/>
    <w:rsid w:val="00B975AD"/>
    <w:rsid w:val="00BC45FB"/>
    <w:rsid w:val="00BF148D"/>
    <w:rsid w:val="00C23B1A"/>
    <w:rsid w:val="00C310EB"/>
    <w:rsid w:val="00C57C6F"/>
    <w:rsid w:val="00C9176A"/>
    <w:rsid w:val="00CD4793"/>
    <w:rsid w:val="00CF1AA2"/>
    <w:rsid w:val="00D17774"/>
    <w:rsid w:val="00D53ECC"/>
    <w:rsid w:val="00D63620"/>
    <w:rsid w:val="00D8410D"/>
    <w:rsid w:val="00D867D7"/>
    <w:rsid w:val="00D9482E"/>
    <w:rsid w:val="00DA3450"/>
    <w:rsid w:val="00DB7060"/>
    <w:rsid w:val="00DB71CF"/>
    <w:rsid w:val="00DE3153"/>
    <w:rsid w:val="00E0235C"/>
    <w:rsid w:val="00E06736"/>
    <w:rsid w:val="00E13C27"/>
    <w:rsid w:val="00E33BBD"/>
    <w:rsid w:val="00E374F2"/>
    <w:rsid w:val="00E45103"/>
    <w:rsid w:val="00E55A60"/>
    <w:rsid w:val="00E62778"/>
    <w:rsid w:val="00E63D38"/>
    <w:rsid w:val="00E665B9"/>
    <w:rsid w:val="00EA01E6"/>
    <w:rsid w:val="00EA3DE8"/>
    <w:rsid w:val="00EA758F"/>
    <w:rsid w:val="00ED4A6F"/>
    <w:rsid w:val="00EE3FD3"/>
    <w:rsid w:val="00EF3A3A"/>
    <w:rsid w:val="00F628D6"/>
    <w:rsid w:val="00F67051"/>
    <w:rsid w:val="00F86A1E"/>
    <w:rsid w:val="00FA5E88"/>
    <w:rsid w:val="00FD0C59"/>
    <w:rsid w:val="00FD72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E7CC2A52-7C30-40EF-A06A-B08F5CE6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paragraph" w:styleId="2">
    <w:name w:val="heading 2"/>
    <w:basedOn w:val="a"/>
    <w:next w:val="a"/>
    <w:link w:val="20"/>
    <w:qFormat/>
    <w:rsid w:val="00861131"/>
    <w:pPr>
      <w:keepNext/>
      <w:widowControl/>
      <w:autoSpaceDE/>
      <w:autoSpaceDN/>
      <w:adjustRightInd/>
      <w:spacing w:before="0" w:line="240" w:lineRule="auto"/>
      <w:ind w:firstLine="0"/>
      <w:jc w:val="center"/>
      <w:textAlignment w:val="auto"/>
      <w:outlineLvl w:val="1"/>
    </w:pPr>
    <w:rPr>
      <w:rFonts w:ascii="Times New Roman" w:eastAsia="Times New Roman" w:hAnsi="Times New Roman" w:cs="David"/>
      <w:b/>
      <w:bCs/>
      <w:color w:val="auto"/>
      <w:spacing w:val="0"/>
      <w:sz w:val="26"/>
      <w:szCs w:val="26"/>
      <w:u w:val="single"/>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link w:val="a4"/>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5">
    <w:name w:val="footnote text"/>
    <w:basedOn w:val="a"/>
    <w:link w:val="a6"/>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7">
    <w:name w:val="footnote reference"/>
    <w:aliases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8">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9">
    <w:name w:val="header"/>
    <w:basedOn w:val="a"/>
    <w:link w:val="aa"/>
    <w:rsid w:val="00B975AD"/>
    <w:pPr>
      <w:tabs>
        <w:tab w:val="center" w:pos="4153"/>
        <w:tab w:val="right" w:pos="8306"/>
      </w:tabs>
    </w:pPr>
  </w:style>
  <w:style w:type="paragraph" w:styleId="ab">
    <w:name w:val="footer"/>
    <w:basedOn w:val="a"/>
    <w:link w:val="ac"/>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d">
    <w:name w:val="Title"/>
    <w:basedOn w:val="a"/>
    <w:qFormat/>
    <w:rsid w:val="00943386"/>
    <w:pPr>
      <w:jc w:val="center"/>
    </w:pPr>
    <w:rPr>
      <w:rFonts w:cs="David"/>
      <w:b/>
      <w:bCs/>
      <w:sz w:val="28"/>
      <w:szCs w:val="28"/>
      <w:u w:val="single"/>
    </w:rPr>
  </w:style>
  <w:style w:type="character" w:styleId="ae">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f">
    <w:name w:val="Balloon Text"/>
    <w:basedOn w:val="a"/>
    <w:link w:val="af0"/>
    <w:semiHidden/>
    <w:unhideWhenUsed/>
    <w:rsid w:val="00325C14"/>
    <w:pPr>
      <w:spacing w:before="0" w:line="240" w:lineRule="auto"/>
    </w:pPr>
    <w:rPr>
      <w:rFonts w:ascii="Tahoma" w:hAnsi="Tahoma" w:cs="Tahoma"/>
      <w:sz w:val="16"/>
      <w:szCs w:val="16"/>
    </w:rPr>
  </w:style>
  <w:style w:type="character" w:customStyle="1" w:styleId="af0">
    <w:name w:val="טקסט בלונים תו"/>
    <w:basedOn w:val="a0"/>
    <w:link w:val="af"/>
    <w:semiHidden/>
    <w:rsid w:val="00325C14"/>
    <w:rPr>
      <w:rFonts w:ascii="Tahoma" w:hAnsi="Tahoma" w:cs="Tahoma"/>
      <w:color w:val="000000"/>
      <w:spacing w:val="1"/>
      <w:sz w:val="16"/>
      <w:szCs w:val="16"/>
      <w:lang w:eastAsia="ja-JP"/>
    </w:rPr>
  </w:style>
  <w:style w:type="character" w:customStyle="1" w:styleId="a6">
    <w:name w:val="טקסט הערת שוליים תו"/>
    <w:basedOn w:val="a0"/>
    <w:link w:val="a5"/>
    <w:semiHidden/>
    <w:rsid w:val="00596BD1"/>
    <w:rPr>
      <w:rFonts w:ascii="Arial" w:eastAsia="Arial Unicode MS" w:hAnsi="Arial" w:cs="David"/>
      <w:snapToGrid w:val="0"/>
      <w:color w:val="000000"/>
      <w:sz w:val="14"/>
      <w:lang w:eastAsia="ja-JP"/>
    </w:rPr>
  </w:style>
  <w:style w:type="paragraph" w:styleId="af1">
    <w:name w:val="List Paragraph"/>
    <w:basedOn w:val="a"/>
    <w:uiPriority w:val="34"/>
    <w:qFormat/>
    <w:rsid w:val="00596BD1"/>
    <w:pPr>
      <w:ind w:left="720"/>
      <w:contextualSpacing/>
    </w:pPr>
  </w:style>
  <w:style w:type="character" w:styleId="Hyperlink">
    <w:name w:val="Hyperlink"/>
    <w:basedOn w:val="a0"/>
    <w:uiPriority w:val="99"/>
    <w:unhideWhenUsed/>
    <w:rsid w:val="00596BD1"/>
    <w:rPr>
      <w:color w:val="0000FF" w:themeColor="hyperlink"/>
      <w:u w:val="single"/>
    </w:rPr>
  </w:style>
  <w:style w:type="character" w:styleId="FollowedHyperlink">
    <w:name w:val="FollowedHyperlink"/>
    <w:basedOn w:val="a0"/>
    <w:uiPriority w:val="99"/>
    <w:semiHidden/>
    <w:unhideWhenUsed/>
    <w:rsid w:val="00596BD1"/>
    <w:rPr>
      <w:color w:val="800080" w:themeColor="followedHyperlink"/>
      <w:u w:val="single"/>
    </w:rPr>
  </w:style>
  <w:style w:type="character" w:customStyle="1" w:styleId="aa">
    <w:name w:val="כותרת עליונה תו"/>
    <w:basedOn w:val="a0"/>
    <w:link w:val="a9"/>
    <w:rsid w:val="00596BD1"/>
    <w:rPr>
      <w:rFonts w:ascii="Hadasa Roso SL" w:hAnsi="Hadasa Roso SL" w:cs="Hadasa Roso SL"/>
      <w:color w:val="000000"/>
      <w:spacing w:val="1"/>
      <w:sz w:val="17"/>
      <w:szCs w:val="17"/>
      <w:lang w:eastAsia="ja-JP"/>
    </w:rPr>
  </w:style>
  <w:style w:type="character" w:customStyle="1" w:styleId="ac">
    <w:name w:val="כותרת תחתונה תו"/>
    <w:basedOn w:val="a0"/>
    <w:link w:val="ab"/>
    <w:rsid w:val="00596BD1"/>
    <w:rPr>
      <w:rFonts w:ascii="Hadasa Roso SL" w:hAnsi="Hadasa Roso SL" w:cs="Hadasa Roso SL"/>
      <w:color w:val="000000"/>
      <w:spacing w:val="1"/>
      <w:sz w:val="17"/>
      <w:szCs w:val="17"/>
      <w:lang w:eastAsia="ja-JP"/>
    </w:rPr>
  </w:style>
  <w:style w:type="character" w:customStyle="1" w:styleId="a4">
    <w:name w:val="טקסט הערת סיום תו"/>
    <w:basedOn w:val="a0"/>
    <w:link w:val="a3"/>
    <w:semiHidden/>
    <w:rsid w:val="00596BD1"/>
    <w:rPr>
      <w:rFonts w:ascii="Hadasa Roso SL" w:hAnsi="Hadasa Roso SL" w:cs="Hadasa Roso SL"/>
      <w:color w:val="000000"/>
      <w:spacing w:val="1"/>
      <w:sz w:val="14"/>
      <w:szCs w:val="22"/>
      <w:lang w:eastAsia="ja-JP"/>
    </w:rPr>
  </w:style>
  <w:style w:type="character" w:styleId="af2">
    <w:name w:val="line number"/>
    <w:basedOn w:val="a0"/>
    <w:uiPriority w:val="99"/>
    <w:semiHidden/>
    <w:unhideWhenUsed/>
    <w:rsid w:val="00596BD1"/>
  </w:style>
  <w:style w:type="character" w:customStyle="1" w:styleId="20">
    <w:name w:val="כותרת 2 תו"/>
    <w:basedOn w:val="a0"/>
    <w:link w:val="2"/>
    <w:rsid w:val="00861131"/>
    <w:rPr>
      <w:rFonts w:eastAsia="Times New Roman" w:cs="David"/>
      <w:b/>
      <w:bCs/>
      <w:sz w:val="26"/>
      <w:szCs w:val="26"/>
      <w:u w:val="single"/>
      <w:lang w:eastAsia="he-IL"/>
    </w:rPr>
  </w:style>
  <w:style w:type="paragraph" w:styleId="af3">
    <w:name w:val="Revision"/>
    <w:hidden/>
    <w:uiPriority w:val="99"/>
    <w:semiHidden/>
    <w:rsid w:val="00DB71CF"/>
    <w:rPr>
      <w:rFonts w:ascii="Hadasa Roso SL" w:hAnsi="Hadasa Roso SL" w:cs="Hadasa Roso SL"/>
      <w:color w:val="000000"/>
      <w:spacing w:val="1"/>
      <w:sz w:val="17"/>
      <w:szCs w:val="17"/>
      <w:lang w:eastAsia="ja-JP"/>
    </w:rPr>
  </w:style>
  <w:style w:type="character" w:customStyle="1" w:styleId="default">
    <w:name w:val="default"/>
    <w:basedOn w:val="a0"/>
    <w:rsid w:val="00DB71CF"/>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359714">
      <w:bodyDiv w:val="1"/>
      <w:marLeft w:val="0"/>
      <w:marRight w:val="0"/>
      <w:marTop w:val="0"/>
      <w:marBottom w:val="0"/>
      <w:divBdr>
        <w:top w:val="none" w:sz="0" w:space="0" w:color="auto"/>
        <w:left w:val="none" w:sz="0" w:space="0" w:color="auto"/>
        <w:bottom w:val="none" w:sz="0" w:space="0" w:color="auto"/>
        <w:right w:val="none" w:sz="0" w:space="0" w:color="auto"/>
      </w:divBdr>
    </w:div>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vir-naki.com/Verdicts/&#1508;&#1505;&#1491;%20&#1511;&#1505;&#1501;%20&#1502;&#1497;&#1500;&#1504;&#1497;&#1493;&#1501;%20&#1504;&#1490;&#1491;%20&#1502;&#1497;&#1511;&#1491;&#1503;%20&#1505;&#1508;&#1504;&#1493;&#1514;.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viva.gov.il/subjectsEnv/neemanenikayon/Pages/default.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2.xml><?xml version="1.0" encoding="utf-8"?>
<ds:datastoreItem xmlns:ds="http://schemas.openxmlformats.org/officeDocument/2006/customXml" ds:itemID="{54E7A9A9-D8F7-4912-ACA4-39C82067F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4AFE3-9455-419C-8851-785A55F44517}">
  <ds:schemaRef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397853F-C226-4E68-921D-40122E53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18</Pages>
  <Words>6976</Words>
  <Characters>33925</Characters>
  <Application>Microsoft Office Word</Application>
  <DocSecurity>0</DocSecurity>
  <Lines>282</Lines>
  <Paragraphs>81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40820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יעל סלנט</cp:lastModifiedBy>
  <cp:revision>17</cp:revision>
  <cp:lastPrinted>2018-03-04T08:24:00Z</cp:lastPrinted>
  <dcterms:created xsi:type="dcterms:W3CDTF">2015-04-20T09:58:00Z</dcterms:created>
  <dcterms:modified xsi:type="dcterms:W3CDTF">2018-03-04T11:40:00Z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2019905</vt:r8>
  </property>
</Properties>
</file>